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4383" w14:textId="77777777" w:rsidR="00691EA2" w:rsidRDefault="00691EA2">
      <w:pPr>
        <w:spacing w:line="400" w:lineRule="exact"/>
        <w:rPr>
          <w:rFonts w:ascii="宋体" w:eastAsia="宋体" w:hAnsi="宋体" w:cs="Arial"/>
          <w:sz w:val="24"/>
        </w:rPr>
      </w:pPr>
    </w:p>
    <w:p w14:paraId="676BACAA" w14:textId="77777777" w:rsidR="00691EA2" w:rsidRDefault="00691EA2">
      <w:pPr>
        <w:spacing w:line="400" w:lineRule="exact"/>
        <w:rPr>
          <w:rFonts w:ascii="宋体" w:eastAsia="宋体" w:hAnsi="宋体" w:cs="Arial"/>
          <w:sz w:val="24"/>
        </w:rPr>
      </w:pPr>
    </w:p>
    <w:p w14:paraId="28CBD8D1" w14:textId="77777777" w:rsidR="00691EA2" w:rsidRDefault="00691EA2">
      <w:pPr>
        <w:spacing w:line="400" w:lineRule="exact"/>
        <w:rPr>
          <w:rFonts w:ascii="宋体" w:eastAsia="宋体" w:hAnsi="宋体" w:cs="Arial"/>
          <w:sz w:val="24"/>
        </w:rPr>
      </w:pPr>
    </w:p>
    <w:p w14:paraId="2F498259" w14:textId="77777777" w:rsidR="00691EA2" w:rsidRDefault="00691EA2">
      <w:pPr>
        <w:spacing w:line="400" w:lineRule="exact"/>
        <w:rPr>
          <w:rFonts w:ascii="宋体" w:eastAsia="宋体" w:hAnsi="宋体" w:cs="Arial"/>
          <w:sz w:val="24"/>
        </w:rPr>
      </w:pPr>
    </w:p>
    <w:p w14:paraId="321A618E" w14:textId="77777777" w:rsidR="00691EA2" w:rsidRDefault="00691EA2">
      <w:pPr>
        <w:spacing w:line="400" w:lineRule="exact"/>
        <w:rPr>
          <w:rFonts w:ascii="宋体" w:eastAsia="宋体" w:hAnsi="宋体" w:cs="Arial"/>
          <w:sz w:val="24"/>
        </w:rPr>
      </w:pPr>
    </w:p>
    <w:p w14:paraId="480F5208" w14:textId="77777777" w:rsidR="002C7C6A" w:rsidRDefault="00F874ED">
      <w:pPr>
        <w:spacing w:line="276" w:lineRule="auto"/>
        <w:jc w:val="center"/>
        <w:rPr>
          <w:rFonts w:ascii="宋体" w:eastAsia="宋体" w:hAnsi="宋体" w:cs="Arial"/>
          <w:b/>
          <w:sz w:val="44"/>
        </w:rPr>
      </w:pPr>
      <w:proofErr w:type="gramStart"/>
      <w:r>
        <w:rPr>
          <w:rFonts w:ascii="宋体" w:eastAsia="宋体" w:hAnsi="宋体" w:cs="Arial" w:hint="eastAsia"/>
          <w:b/>
          <w:sz w:val="44"/>
        </w:rPr>
        <w:t>兴证全球中证沪</w:t>
      </w:r>
      <w:proofErr w:type="gramEnd"/>
      <w:r>
        <w:rPr>
          <w:rFonts w:ascii="宋体" w:eastAsia="宋体" w:hAnsi="宋体" w:cs="Arial" w:hint="eastAsia"/>
          <w:b/>
          <w:sz w:val="44"/>
        </w:rPr>
        <w:t>港深300指数增强型</w:t>
      </w:r>
    </w:p>
    <w:p w14:paraId="3626D3FF" w14:textId="2E9FEB36" w:rsidR="00691EA2" w:rsidRDefault="00F874ED">
      <w:pPr>
        <w:spacing w:line="276" w:lineRule="auto"/>
        <w:jc w:val="center"/>
        <w:rPr>
          <w:rFonts w:ascii="宋体" w:eastAsia="宋体" w:hAnsi="宋体" w:cs="Arial"/>
          <w:b/>
          <w:sz w:val="44"/>
        </w:rPr>
      </w:pPr>
      <w:r>
        <w:rPr>
          <w:rFonts w:ascii="宋体" w:eastAsia="宋体" w:hAnsi="宋体" w:cs="Arial" w:hint="eastAsia"/>
          <w:b/>
          <w:sz w:val="44"/>
        </w:rPr>
        <w:t>证券投资基金托管协议</w:t>
      </w:r>
    </w:p>
    <w:p w14:paraId="0A9FA725" w14:textId="77777777" w:rsidR="00691EA2" w:rsidRDefault="00691EA2">
      <w:pPr>
        <w:spacing w:line="400" w:lineRule="exact"/>
        <w:rPr>
          <w:rFonts w:ascii="宋体" w:eastAsia="宋体" w:hAnsi="宋体" w:cs="Arial"/>
          <w:sz w:val="24"/>
        </w:rPr>
      </w:pPr>
    </w:p>
    <w:p w14:paraId="29DBF130" w14:textId="77777777" w:rsidR="00691EA2" w:rsidRDefault="00691EA2">
      <w:pPr>
        <w:spacing w:line="400" w:lineRule="exact"/>
        <w:rPr>
          <w:rFonts w:ascii="宋体" w:eastAsia="宋体" w:hAnsi="宋体" w:cs="Arial"/>
          <w:sz w:val="24"/>
        </w:rPr>
      </w:pPr>
    </w:p>
    <w:p w14:paraId="75C0817F" w14:textId="77777777" w:rsidR="00691EA2" w:rsidRDefault="00691EA2">
      <w:pPr>
        <w:spacing w:line="400" w:lineRule="exact"/>
        <w:rPr>
          <w:rFonts w:ascii="宋体" w:eastAsia="宋体" w:hAnsi="宋体" w:cs="Arial"/>
          <w:sz w:val="24"/>
        </w:rPr>
      </w:pPr>
    </w:p>
    <w:p w14:paraId="7534D4C7" w14:textId="77777777" w:rsidR="00691EA2" w:rsidRDefault="00691EA2">
      <w:pPr>
        <w:spacing w:line="400" w:lineRule="exact"/>
        <w:rPr>
          <w:rFonts w:ascii="宋体" w:eastAsia="宋体" w:hAnsi="宋体" w:cs="Arial"/>
          <w:sz w:val="24"/>
        </w:rPr>
      </w:pPr>
    </w:p>
    <w:p w14:paraId="06D3C903" w14:textId="77777777" w:rsidR="00691EA2" w:rsidRDefault="00691EA2">
      <w:pPr>
        <w:spacing w:line="400" w:lineRule="exact"/>
        <w:rPr>
          <w:rFonts w:ascii="宋体" w:eastAsia="宋体" w:hAnsi="宋体" w:cs="Arial"/>
          <w:sz w:val="24"/>
        </w:rPr>
      </w:pPr>
    </w:p>
    <w:p w14:paraId="05D32F2B" w14:textId="77777777" w:rsidR="00691EA2" w:rsidRDefault="00691EA2">
      <w:pPr>
        <w:spacing w:line="400" w:lineRule="exact"/>
        <w:rPr>
          <w:rFonts w:ascii="宋体" w:eastAsia="宋体" w:hAnsi="宋体" w:cs="Arial"/>
          <w:sz w:val="24"/>
        </w:rPr>
      </w:pPr>
    </w:p>
    <w:p w14:paraId="11C52525" w14:textId="77777777" w:rsidR="00691EA2" w:rsidRDefault="00691EA2">
      <w:pPr>
        <w:spacing w:line="400" w:lineRule="exact"/>
        <w:rPr>
          <w:rFonts w:ascii="宋体" w:eastAsia="宋体" w:hAnsi="宋体" w:cs="Arial"/>
          <w:sz w:val="24"/>
        </w:rPr>
      </w:pPr>
    </w:p>
    <w:p w14:paraId="532EA979" w14:textId="77777777" w:rsidR="00691EA2" w:rsidRDefault="00691EA2">
      <w:pPr>
        <w:spacing w:line="400" w:lineRule="exact"/>
        <w:rPr>
          <w:rFonts w:ascii="宋体" w:eastAsia="宋体" w:hAnsi="宋体" w:cs="Arial"/>
          <w:sz w:val="24"/>
        </w:rPr>
      </w:pPr>
    </w:p>
    <w:p w14:paraId="4028672A" w14:textId="77777777" w:rsidR="00691EA2" w:rsidRDefault="00691EA2">
      <w:pPr>
        <w:spacing w:line="400" w:lineRule="exact"/>
        <w:rPr>
          <w:rFonts w:ascii="宋体" w:eastAsia="宋体" w:hAnsi="宋体" w:cs="Arial"/>
          <w:sz w:val="24"/>
        </w:rPr>
      </w:pPr>
    </w:p>
    <w:p w14:paraId="690A98C9" w14:textId="77777777" w:rsidR="00691EA2" w:rsidRDefault="00F874ED">
      <w:pPr>
        <w:spacing w:line="276" w:lineRule="auto"/>
        <w:jc w:val="center"/>
        <w:rPr>
          <w:rFonts w:ascii="宋体" w:eastAsia="宋体" w:hAnsi="宋体" w:cs="Arial"/>
          <w:b/>
          <w:bCs/>
          <w:sz w:val="28"/>
        </w:rPr>
      </w:pPr>
      <w:r>
        <w:rPr>
          <w:rFonts w:ascii="宋体" w:eastAsia="宋体" w:hAnsi="宋体" w:cs="Arial" w:hint="eastAsia"/>
          <w:b/>
          <w:bCs/>
          <w:sz w:val="28"/>
        </w:rPr>
        <w:t>基金管理人：兴证全球基金管理有限公司</w:t>
      </w:r>
    </w:p>
    <w:p w14:paraId="569451C0" w14:textId="77777777" w:rsidR="00691EA2" w:rsidRDefault="00F874ED">
      <w:pPr>
        <w:spacing w:line="276" w:lineRule="auto"/>
        <w:jc w:val="center"/>
        <w:rPr>
          <w:rFonts w:ascii="宋体" w:eastAsia="宋体" w:hAnsi="宋体" w:cs="Arial"/>
          <w:b/>
          <w:bCs/>
          <w:sz w:val="28"/>
        </w:rPr>
      </w:pPr>
      <w:r>
        <w:rPr>
          <w:rFonts w:ascii="宋体" w:eastAsia="宋体" w:hAnsi="宋体" w:cs="Arial" w:hint="eastAsia"/>
          <w:b/>
          <w:bCs/>
          <w:sz w:val="28"/>
        </w:rPr>
        <w:t>基金托管人：中国建设银行股份有限公司</w:t>
      </w:r>
    </w:p>
    <w:p w14:paraId="131120D3" w14:textId="77777777" w:rsidR="00691EA2" w:rsidRDefault="00691EA2">
      <w:pPr>
        <w:spacing w:line="400" w:lineRule="exact"/>
        <w:rPr>
          <w:rFonts w:ascii="宋体" w:eastAsia="宋体" w:hAnsi="宋体" w:cs="Arial"/>
          <w:sz w:val="24"/>
        </w:rPr>
      </w:pPr>
    </w:p>
    <w:p w14:paraId="1324EB9D" w14:textId="77777777" w:rsidR="00691EA2" w:rsidRDefault="00691EA2">
      <w:pPr>
        <w:spacing w:line="400" w:lineRule="exact"/>
        <w:rPr>
          <w:rFonts w:ascii="宋体" w:eastAsia="宋体" w:hAnsi="宋体" w:cs="Arial"/>
          <w:sz w:val="24"/>
        </w:rPr>
      </w:pPr>
    </w:p>
    <w:p w14:paraId="0A6F98EA" w14:textId="77777777" w:rsidR="00691EA2" w:rsidRDefault="00691EA2">
      <w:pPr>
        <w:spacing w:line="400" w:lineRule="exact"/>
        <w:rPr>
          <w:rFonts w:ascii="宋体" w:eastAsia="宋体" w:hAnsi="宋体" w:cs="Arial"/>
          <w:sz w:val="24"/>
        </w:rPr>
      </w:pPr>
    </w:p>
    <w:p w14:paraId="764A094B" w14:textId="77777777" w:rsidR="00691EA2" w:rsidRDefault="00F874ED">
      <w:pPr>
        <w:spacing w:line="400" w:lineRule="exact"/>
        <w:rPr>
          <w:rFonts w:ascii="宋体" w:eastAsia="宋体" w:hAnsi="宋体" w:cs="Arial"/>
          <w:sz w:val="24"/>
        </w:rPr>
      </w:pPr>
      <w:r>
        <w:rPr>
          <w:rFonts w:ascii="宋体" w:eastAsia="宋体" w:hAnsi="宋体" w:cs="Arial" w:hint="eastAsia"/>
          <w:sz w:val="24"/>
        </w:rPr>
        <w:t xml:space="preserve">                        </w:t>
      </w:r>
    </w:p>
    <w:p w14:paraId="11537C9B" w14:textId="77777777" w:rsidR="00691EA2" w:rsidRDefault="00691EA2">
      <w:pPr>
        <w:adjustRightInd w:val="0"/>
        <w:snapToGrid w:val="0"/>
        <w:spacing w:line="400" w:lineRule="exact"/>
        <w:jc w:val="center"/>
        <w:rPr>
          <w:rFonts w:ascii="宋体" w:eastAsia="宋体" w:hAnsi="宋体" w:cs="Arial"/>
          <w:bCs/>
          <w:sz w:val="24"/>
        </w:rPr>
        <w:sectPr w:rsidR="00691EA2">
          <w:footerReference w:type="even" r:id="rId8"/>
          <w:footerReference w:type="default" r:id="rId9"/>
          <w:pgSz w:w="11906" w:h="16838"/>
          <w:pgMar w:top="1440" w:right="1800" w:bottom="1440" w:left="1800" w:header="851" w:footer="992" w:gutter="0"/>
          <w:cols w:space="425"/>
          <w:docGrid w:type="lines" w:linePitch="312"/>
        </w:sectPr>
      </w:pPr>
    </w:p>
    <w:p w14:paraId="4AE0119C" w14:textId="77777777" w:rsidR="00691EA2" w:rsidRDefault="00F874ED">
      <w:pPr>
        <w:spacing w:line="360" w:lineRule="auto"/>
        <w:jc w:val="center"/>
        <w:rPr>
          <w:rFonts w:ascii="宋体" w:eastAsia="宋体" w:hAnsi="宋体"/>
          <w:b/>
          <w:bCs/>
          <w:sz w:val="30"/>
        </w:rPr>
      </w:pPr>
      <w:r>
        <w:rPr>
          <w:rFonts w:ascii="宋体" w:eastAsia="宋体" w:hAnsi="宋体" w:hint="eastAsia"/>
          <w:b/>
          <w:bCs/>
          <w:sz w:val="30"/>
        </w:rPr>
        <w:lastRenderedPageBreak/>
        <w:t>目    录</w:t>
      </w:r>
    </w:p>
    <w:p w14:paraId="11107C92" w14:textId="71B45A56" w:rsidR="00691EA2" w:rsidRDefault="00F874ED">
      <w:pPr>
        <w:pStyle w:val="af0"/>
        <w:tabs>
          <w:tab w:val="right" w:leader="dot" w:pos="8494"/>
        </w:tabs>
        <w:spacing w:line="360" w:lineRule="auto"/>
        <w:ind w:leftChars="0" w:left="0"/>
        <w:rPr>
          <w:rFonts w:ascii="宋体" w:hAnsi="宋体"/>
          <w:noProof/>
          <w:sz w:val="28"/>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Pr>
            <w:rStyle w:val="ab"/>
            <w:rFonts w:ascii="宋体" w:hAnsi="宋体" w:hint="eastAsia"/>
            <w:noProof/>
            <w:sz w:val="28"/>
            <w:szCs w:val="32"/>
          </w:rPr>
          <w:t>一、基金托管协议当事人</w:t>
        </w:r>
        <w:r>
          <w:rPr>
            <w:rFonts w:ascii="宋体" w:hAnsi="宋体" w:hint="eastAsia"/>
            <w:noProof/>
            <w:webHidden/>
            <w:sz w:val="28"/>
          </w:rPr>
          <w:tab/>
        </w:r>
        <w:r>
          <w:rPr>
            <w:rFonts w:ascii="宋体" w:hAnsi="宋体" w:hint="eastAsia"/>
            <w:noProof/>
            <w:webHidden/>
            <w:sz w:val="28"/>
          </w:rPr>
          <w:fldChar w:fldCharType="begin"/>
        </w:r>
        <w:r>
          <w:rPr>
            <w:rFonts w:ascii="宋体" w:hAnsi="宋体" w:hint="eastAsia"/>
            <w:noProof/>
            <w:webHidden/>
            <w:sz w:val="28"/>
          </w:rPr>
          <w:instrText xml:space="preserve"> PAGEREF _Toc124325885 \h </w:instrText>
        </w:r>
        <w:r>
          <w:rPr>
            <w:rFonts w:ascii="宋体" w:hAnsi="宋体" w:hint="eastAsia"/>
            <w:noProof/>
            <w:webHidden/>
            <w:sz w:val="28"/>
          </w:rPr>
        </w:r>
        <w:r>
          <w:rPr>
            <w:rFonts w:ascii="宋体" w:hAnsi="宋体" w:hint="eastAsia"/>
            <w:noProof/>
            <w:webHidden/>
            <w:sz w:val="28"/>
          </w:rPr>
          <w:fldChar w:fldCharType="separate"/>
        </w:r>
        <w:r w:rsidR="00EB6B3F">
          <w:rPr>
            <w:rFonts w:ascii="宋体" w:hAnsi="宋体"/>
            <w:noProof/>
            <w:webHidden/>
            <w:sz w:val="28"/>
          </w:rPr>
          <w:t>4</w:t>
        </w:r>
        <w:r>
          <w:rPr>
            <w:rFonts w:ascii="宋体" w:hAnsi="宋体" w:hint="eastAsia"/>
            <w:noProof/>
            <w:webHidden/>
            <w:sz w:val="28"/>
          </w:rPr>
          <w:fldChar w:fldCharType="end"/>
        </w:r>
      </w:hyperlink>
    </w:p>
    <w:p w14:paraId="408799EC" w14:textId="2252E649" w:rsidR="00691EA2" w:rsidRDefault="00BA36ED">
      <w:pPr>
        <w:pStyle w:val="af0"/>
        <w:tabs>
          <w:tab w:val="right" w:leader="dot" w:pos="8494"/>
        </w:tabs>
        <w:spacing w:line="360" w:lineRule="auto"/>
        <w:ind w:leftChars="0" w:left="0"/>
        <w:rPr>
          <w:rFonts w:ascii="宋体" w:hAnsi="宋体"/>
          <w:noProof/>
          <w:sz w:val="28"/>
        </w:rPr>
      </w:pPr>
      <w:hyperlink w:anchor="_Toc124325886" w:history="1">
        <w:r w:rsidR="00F874ED">
          <w:rPr>
            <w:rStyle w:val="ab"/>
            <w:rFonts w:ascii="宋体" w:hAnsi="宋体" w:hint="eastAsia"/>
            <w:noProof/>
            <w:sz w:val="28"/>
            <w:szCs w:val="32"/>
          </w:rPr>
          <w:t>二、基金托管协议的依据、目的和原则</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_Toc124325886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5</w:t>
        </w:r>
        <w:r w:rsidR="00F874ED">
          <w:rPr>
            <w:rFonts w:ascii="宋体" w:hAnsi="宋体" w:hint="eastAsia"/>
            <w:noProof/>
            <w:webHidden/>
            <w:sz w:val="28"/>
          </w:rPr>
          <w:fldChar w:fldCharType="end"/>
        </w:r>
      </w:hyperlink>
    </w:p>
    <w:p w14:paraId="2D28C502" w14:textId="6AD4D937" w:rsidR="00691EA2" w:rsidRDefault="00BA36ED">
      <w:pPr>
        <w:pStyle w:val="af0"/>
        <w:tabs>
          <w:tab w:val="right" w:leader="dot" w:pos="8494"/>
        </w:tabs>
        <w:spacing w:line="360" w:lineRule="auto"/>
        <w:ind w:leftChars="0" w:left="0"/>
        <w:rPr>
          <w:rFonts w:ascii="宋体" w:hAnsi="宋体"/>
          <w:noProof/>
          <w:sz w:val="28"/>
        </w:rPr>
      </w:pPr>
      <w:hyperlink w:anchor="_Toc124325887" w:history="1">
        <w:r w:rsidR="00F874ED">
          <w:rPr>
            <w:rStyle w:val="ab"/>
            <w:rFonts w:ascii="宋体" w:hAnsi="宋体" w:hint="eastAsia"/>
            <w:noProof/>
            <w:sz w:val="28"/>
            <w:szCs w:val="32"/>
          </w:rPr>
          <w:t>三、基金托管人对基金管理人的业务监督和核查</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_Toc124325887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6</w:t>
        </w:r>
        <w:r w:rsidR="00F874ED">
          <w:rPr>
            <w:rFonts w:ascii="宋体" w:hAnsi="宋体" w:hint="eastAsia"/>
            <w:noProof/>
            <w:webHidden/>
            <w:sz w:val="28"/>
          </w:rPr>
          <w:fldChar w:fldCharType="end"/>
        </w:r>
      </w:hyperlink>
    </w:p>
    <w:p w14:paraId="101AA224" w14:textId="14BB5359" w:rsidR="00691EA2" w:rsidRDefault="00BA36ED">
      <w:pPr>
        <w:pStyle w:val="af0"/>
        <w:tabs>
          <w:tab w:val="right" w:leader="dot" w:pos="8494"/>
        </w:tabs>
        <w:spacing w:line="360" w:lineRule="auto"/>
        <w:ind w:leftChars="0" w:left="0"/>
        <w:rPr>
          <w:rFonts w:ascii="宋体" w:hAnsi="宋体"/>
          <w:noProof/>
          <w:sz w:val="28"/>
        </w:rPr>
      </w:pPr>
      <w:hyperlink w:anchor="_Toc124325888" w:history="1">
        <w:r w:rsidR="00F874ED">
          <w:rPr>
            <w:rStyle w:val="ab"/>
            <w:rFonts w:ascii="宋体" w:hAnsi="宋体" w:hint="eastAsia"/>
            <w:noProof/>
            <w:sz w:val="28"/>
            <w:szCs w:val="32"/>
          </w:rPr>
          <w:t>四、基金管理人对基金托管人的业务核查</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_Toc124325888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12</w:t>
        </w:r>
        <w:r w:rsidR="00F874ED">
          <w:rPr>
            <w:rFonts w:ascii="宋体" w:hAnsi="宋体" w:hint="eastAsia"/>
            <w:noProof/>
            <w:webHidden/>
            <w:sz w:val="28"/>
          </w:rPr>
          <w:fldChar w:fldCharType="end"/>
        </w:r>
      </w:hyperlink>
    </w:p>
    <w:p w14:paraId="68CAEC55" w14:textId="3DA6C32E" w:rsidR="00691EA2" w:rsidRDefault="00BA36ED">
      <w:pPr>
        <w:pStyle w:val="af0"/>
        <w:tabs>
          <w:tab w:val="right" w:leader="dot" w:pos="8494"/>
        </w:tabs>
        <w:spacing w:line="360" w:lineRule="auto"/>
        <w:ind w:leftChars="0" w:left="0"/>
        <w:rPr>
          <w:rFonts w:ascii="宋体" w:hAnsi="宋体"/>
          <w:noProof/>
          <w:sz w:val="28"/>
        </w:rPr>
      </w:pPr>
      <w:hyperlink w:anchor="_Toc124325889" w:history="1">
        <w:r w:rsidR="00F874ED">
          <w:rPr>
            <w:rStyle w:val="ab"/>
            <w:rFonts w:ascii="宋体" w:hAnsi="宋体" w:hint="eastAsia"/>
            <w:noProof/>
            <w:sz w:val="28"/>
            <w:szCs w:val="32"/>
          </w:rPr>
          <w:t>五、基金财产的保管</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_Toc124325889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13</w:t>
        </w:r>
        <w:r w:rsidR="00F874ED">
          <w:rPr>
            <w:rFonts w:ascii="宋体" w:hAnsi="宋体" w:hint="eastAsia"/>
            <w:noProof/>
            <w:webHidden/>
            <w:sz w:val="28"/>
          </w:rPr>
          <w:fldChar w:fldCharType="end"/>
        </w:r>
      </w:hyperlink>
    </w:p>
    <w:p w14:paraId="4BD96DFE" w14:textId="2CDF5AF6" w:rsidR="00691EA2" w:rsidRDefault="00BA36ED">
      <w:pPr>
        <w:pStyle w:val="af0"/>
        <w:tabs>
          <w:tab w:val="right" w:leader="dot" w:pos="8494"/>
        </w:tabs>
        <w:spacing w:line="360" w:lineRule="auto"/>
        <w:ind w:leftChars="0" w:left="0"/>
        <w:rPr>
          <w:rFonts w:ascii="宋体" w:hAnsi="宋体"/>
          <w:noProof/>
          <w:sz w:val="28"/>
        </w:rPr>
      </w:pPr>
      <w:hyperlink w:anchor="_Toc124325890" w:history="1">
        <w:r w:rsidR="00F874ED">
          <w:rPr>
            <w:rStyle w:val="ab"/>
            <w:rFonts w:ascii="宋体" w:hAnsi="宋体" w:hint="eastAsia"/>
            <w:noProof/>
            <w:sz w:val="28"/>
            <w:szCs w:val="32"/>
          </w:rPr>
          <w:t>六、指令的发送、确认及执行</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_Toc124325890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17</w:t>
        </w:r>
        <w:r w:rsidR="00F874ED">
          <w:rPr>
            <w:rFonts w:ascii="宋体" w:hAnsi="宋体" w:hint="eastAsia"/>
            <w:noProof/>
            <w:webHidden/>
            <w:sz w:val="28"/>
          </w:rPr>
          <w:fldChar w:fldCharType="end"/>
        </w:r>
      </w:hyperlink>
    </w:p>
    <w:p w14:paraId="6F5D7F70" w14:textId="677CF264" w:rsidR="00691EA2" w:rsidRDefault="00BA36ED">
      <w:pPr>
        <w:pStyle w:val="af0"/>
        <w:tabs>
          <w:tab w:val="right" w:leader="dot" w:pos="8494"/>
        </w:tabs>
        <w:spacing w:line="360" w:lineRule="auto"/>
        <w:ind w:leftChars="0" w:left="0"/>
        <w:rPr>
          <w:rFonts w:ascii="宋体" w:hAnsi="宋体"/>
          <w:noProof/>
          <w:sz w:val="28"/>
        </w:rPr>
      </w:pPr>
      <w:hyperlink w:anchor="_Toc124325891" w:history="1">
        <w:r w:rsidR="00F874ED">
          <w:rPr>
            <w:rStyle w:val="ab"/>
            <w:rFonts w:ascii="宋体" w:hAnsi="宋体" w:hint="eastAsia"/>
            <w:noProof/>
            <w:sz w:val="28"/>
            <w:szCs w:val="32"/>
          </w:rPr>
          <w:t>七、交易及清算交收安排</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_Toc124325891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20</w:t>
        </w:r>
        <w:r w:rsidR="00F874ED">
          <w:rPr>
            <w:rFonts w:ascii="宋体" w:hAnsi="宋体" w:hint="eastAsia"/>
            <w:noProof/>
            <w:webHidden/>
            <w:sz w:val="28"/>
          </w:rPr>
          <w:fldChar w:fldCharType="end"/>
        </w:r>
      </w:hyperlink>
    </w:p>
    <w:p w14:paraId="70EEE78B" w14:textId="5F512A1F" w:rsidR="00691EA2" w:rsidRDefault="00BA36ED">
      <w:pPr>
        <w:pStyle w:val="af0"/>
        <w:tabs>
          <w:tab w:val="right" w:leader="dot" w:pos="8494"/>
        </w:tabs>
        <w:spacing w:line="360" w:lineRule="auto"/>
        <w:ind w:leftChars="0" w:left="0"/>
        <w:rPr>
          <w:rFonts w:ascii="宋体" w:hAnsi="宋体"/>
          <w:noProof/>
          <w:sz w:val="28"/>
        </w:rPr>
      </w:pPr>
      <w:hyperlink w:anchor="_Toc124325892" w:history="1">
        <w:r w:rsidR="00F874ED">
          <w:rPr>
            <w:rStyle w:val="ab"/>
            <w:rFonts w:ascii="宋体" w:hAnsi="宋体" w:hint="eastAsia"/>
            <w:noProof/>
            <w:sz w:val="28"/>
            <w:szCs w:val="32"/>
          </w:rPr>
          <w:t>八、基金资产净值计算和会计核算</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_Toc124325892 \h </w:instrText>
        </w:r>
        <w:r w:rsidR="00F874ED">
          <w:rPr>
            <w:rFonts w:ascii="宋体" w:hAnsi="宋体" w:hint="eastAsia"/>
            <w:noProof/>
            <w:webHidden/>
            <w:sz w:val="28"/>
          </w:rPr>
        </w:r>
        <w:r w:rsidR="00F874ED">
          <w:rPr>
            <w:rFonts w:ascii="宋体" w:hAnsi="宋体" w:hint="eastAsia"/>
            <w:noProof/>
            <w:webHidden/>
            <w:sz w:val="28"/>
          </w:rPr>
          <w:fldChar w:fldCharType="separate"/>
        </w:r>
        <w:bookmarkStart w:id="0" w:name="_GoBack"/>
        <w:r w:rsidR="00EB6B3F">
          <w:rPr>
            <w:rFonts w:ascii="宋体" w:hAnsi="宋体"/>
            <w:noProof/>
            <w:webHidden/>
            <w:sz w:val="28"/>
          </w:rPr>
          <w:t>24</w:t>
        </w:r>
        <w:bookmarkEnd w:id="0"/>
        <w:r w:rsidR="00F874ED">
          <w:rPr>
            <w:rFonts w:ascii="宋体" w:hAnsi="宋体" w:hint="eastAsia"/>
            <w:noProof/>
            <w:webHidden/>
            <w:sz w:val="28"/>
          </w:rPr>
          <w:fldChar w:fldCharType="end"/>
        </w:r>
      </w:hyperlink>
    </w:p>
    <w:p w14:paraId="1835A314" w14:textId="58372DAC" w:rsidR="00691EA2" w:rsidRDefault="00BA36ED">
      <w:pPr>
        <w:pStyle w:val="af0"/>
        <w:tabs>
          <w:tab w:val="right" w:leader="dot" w:pos="8494"/>
        </w:tabs>
        <w:spacing w:line="360" w:lineRule="auto"/>
        <w:ind w:leftChars="0" w:left="0"/>
        <w:rPr>
          <w:rFonts w:ascii="宋体" w:hAnsi="宋体"/>
          <w:noProof/>
          <w:sz w:val="28"/>
        </w:rPr>
      </w:pPr>
      <w:hyperlink w:anchor="_Toc124325893" w:history="1">
        <w:r w:rsidR="00F874ED">
          <w:rPr>
            <w:rStyle w:val="ab"/>
            <w:rFonts w:ascii="宋体" w:hAnsi="宋体" w:hint="eastAsia"/>
            <w:noProof/>
            <w:sz w:val="28"/>
            <w:szCs w:val="32"/>
          </w:rPr>
          <w:t>九、基金收益分配</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_Toc124325893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30</w:t>
        </w:r>
        <w:r w:rsidR="00F874ED">
          <w:rPr>
            <w:rFonts w:ascii="宋体" w:hAnsi="宋体" w:hint="eastAsia"/>
            <w:noProof/>
            <w:webHidden/>
            <w:sz w:val="28"/>
          </w:rPr>
          <w:fldChar w:fldCharType="end"/>
        </w:r>
      </w:hyperlink>
    </w:p>
    <w:p w14:paraId="5CBDF92D" w14:textId="0677FFE2" w:rsidR="00691EA2" w:rsidRDefault="00BA36ED">
      <w:pPr>
        <w:pStyle w:val="af0"/>
        <w:tabs>
          <w:tab w:val="right" w:leader="dot" w:pos="8494"/>
        </w:tabs>
        <w:spacing w:line="360" w:lineRule="auto"/>
        <w:ind w:leftChars="0" w:left="0"/>
        <w:rPr>
          <w:rFonts w:ascii="宋体" w:hAnsi="宋体"/>
          <w:noProof/>
          <w:sz w:val="28"/>
        </w:rPr>
      </w:pPr>
      <w:hyperlink w:anchor="_Toc124325894" w:history="1">
        <w:r w:rsidR="00F874ED">
          <w:rPr>
            <w:rStyle w:val="ab"/>
            <w:rFonts w:ascii="宋体" w:hAnsi="宋体" w:hint="eastAsia"/>
            <w:noProof/>
            <w:sz w:val="28"/>
            <w:szCs w:val="32"/>
          </w:rPr>
          <w:t>十、基金信息披露</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_Toc124325894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32</w:t>
        </w:r>
        <w:r w:rsidR="00F874ED">
          <w:rPr>
            <w:rFonts w:ascii="宋体" w:hAnsi="宋体" w:hint="eastAsia"/>
            <w:noProof/>
            <w:webHidden/>
            <w:sz w:val="28"/>
          </w:rPr>
          <w:fldChar w:fldCharType="end"/>
        </w:r>
      </w:hyperlink>
    </w:p>
    <w:p w14:paraId="7F0D150D" w14:textId="3C807D2B" w:rsidR="00691EA2" w:rsidRDefault="00BA36ED">
      <w:pPr>
        <w:pStyle w:val="af0"/>
        <w:tabs>
          <w:tab w:val="right" w:leader="dot" w:pos="8494"/>
        </w:tabs>
        <w:spacing w:line="360" w:lineRule="auto"/>
        <w:ind w:leftChars="0" w:left="0"/>
        <w:rPr>
          <w:rFonts w:ascii="宋体" w:hAnsi="宋体"/>
          <w:noProof/>
          <w:sz w:val="28"/>
        </w:rPr>
      </w:pPr>
      <w:hyperlink w:anchor="_Toc124325895" w:history="1">
        <w:r w:rsidR="00F874ED">
          <w:rPr>
            <w:rStyle w:val="ab"/>
            <w:rFonts w:ascii="宋体" w:hAnsi="宋体" w:hint="eastAsia"/>
            <w:noProof/>
            <w:sz w:val="28"/>
            <w:szCs w:val="32"/>
          </w:rPr>
          <w:t>十一、基金费用</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_Toc124325895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34</w:t>
        </w:r>
        <w:r w:rsidR="00F874ED">
          <w:rPr>
            <w:rFonts w:ascii="宋体" w:hAnsi="宋体" w:hint="eastAsia"/>
            <w:noProof/>
            <w:webHidden/>
            <w:sz w:val="28"/>
          </w:rPr>
          <w:fldChar w:fldCharType="end"/>
        </w:r>
      </w:hyperlink>
    </w:p>
    <w:p w14:paraId="33ED8E88" w14:textId="6F51FAF1" w:rsidR="00691EA2" w:rsidRDefault="00BA36ED">
      <w:pPr>
        <w:pStyle w:val="af0"/>
        <w:tabs>
          <w:tab w:val="right" w:leader="dot" w:pos="8494"/>
        </w:tabs>
        <w:spacing w:line="360" w:lineRule="auto"/>
        <w:ind w:leftChars="0" w:left="0"/>
        <w:rPr>
          <w:rFonts w:ascii="宋体" w:hAnsi="宋体"/>
          <w:noProof/>
          <w:sz w:val="28"/>
        </w:rPr>
      </w:pPr>
      <w:hyperlink w:anchor="_Toc124325896" w:history="1">
        <w:r w:rsidR="00F874ED">
          <w:rPr>
            <w:rStyle w:val="ab"/>
            <w:rFonts w:ascii="宋体" w:hAnsi="宋体" w:hint="eastAsia"/>
            <w:noProof/>
            <w:sz w:val="28"/>
            <w:szCs w:val="32"/>
          </w:rPr>
          <w:t>十二、基金份额持有人名册的保管</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_Toc124325896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36</w:t>
        </w:r>
        <w:r w:rsidR="00F874ED">
          <w:rPr>
            <w:rFonts w:ascii="宋体" w:hAnsi="宋体" w:hint="eastAsia"/>
            <w:noProof/>
            <w:webHidden/>
            <w:sz w:val="28"/>
          </w:rPr>
          <w:fldChar w:fldCharType="end"/>
        </w:r>
      </w:hyperlink>
    </w:p>
    <w:p w14:paraId="3B81C628" w14:textId="6BC52855" w:rsidR="00691EA2" w:rsidRDefault="00BA36ED">
      <w:pPr>
        <w:pStyle w:val="af0"/>
        <w:tabs>
          <w:tab w:val="right" w:leader="dot" w:pos="8494"/>
        </w:tabs>
        <w:spacing w:line="360" w:lineRule="auto"/>
        <w:ind w:leftChars="0" w:left="0"/>
        <w:rPr>
          <w:rFonts w:ascii="宋体" w:hAnsi="宋体"/>
          <w:noProof/>
          <w:sz w:val="28"/>
        </w:rPr>
      </w:pPr>
      <w:hyperlink w:anchor="_Toc124325897" w:history="1">
        <w:r w:rsidR="00F874ED">
          <w:rPr>
            <w:rStyle w:val="ab"/>
            <w:rFonts w:ascii="宋体" w:hAnsi="宋体" w:hint="eastAsia"/>
            <w:noProof/>
            <w:sz w:val="28"/>
            <w:szCs w:val="32"/>
          </w:rPr>
          <w:t>十三、基金有关文件档案的保存</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_Toc124325897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37</w:t>
        </w:r>
        <w:r w:rsidR="00F874ED">
          <w:rPr>
            <w:rFonts w:ascii="宋体" w:hAnsi="宋体" w:hint="eastAsia"/>
            <w:noProof/>
            <w:webHidden/>
            <w:sz w:val="28"/>
          </w:rPr>
          <w:fldChar w:fldCharType="end"/>
        </w:r>
      </w:hyperlink>
    </w:p>
    <w:p w14:paraId="7C9BC2B2" w14:textId="00BFDE82" w:rsidR="00691EA2" w:rsidRDefault="00BA36ED">
      <w:pPr>
        <w:pStyle w:val="af0"/>
        <w:tabs>
          <w:tab w:val="right" w:leader="dot" w:pos="8494"/>
        </w:tabs>
        <w:spacing w:line="360" w:lineRule="auto"/>
        <w:ind w:leftChars="0" w:left="0"/>
        <w:rPr>
          <w:rFonts w:ascii="宋体" w:hAnsi="宋体"/>
          <w:noProof/>
          <w:sz w:val="28"/>
        </w:rPr>
      </w:pPr>
      <w:hyperlink w:anchor="_Toc124325898" w:history="1">
        <w:r w:rsidR="00F874ED">
          <w:rPr>
            <w:rStyle w:val="ab"/>
            <w:rFonts w:ascii="宋体" w:hAnsi="宋体" w:hint="eastAsia"/>
            <w:noProof/>
            <w:sz w:val="28"/>
            <w:szCs w:val="32"/>
          </w:rPr>
          <w:t>十四、基金管理人和基金托管人的更换</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_Toc124325898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38</w:t>
        </w:r>
        <w:r w:rsidR="00F874ED">
          <w:rPr>
            <w:rFonts w:ascii="宋体" w:hAnsi="宋体" w:hint="eastAsia"/>
            <w:noProof/>
            <w:webHidden/>
            <w:sz w:val="28"/>
          </w:rPr>
          <w:fldChar w:fldCharType="end"/>
        </w:r>
      </w:hyperlink>
    </w:p>
    <w:p w14:paraId="7E892284" w14:textId="57747909" w:rsidR="00691EA2" w:rsidRDefault="00BA36ED">
      <w:pPr>
        <w:pStyle w:val="af0"/>
        <w:tabs>
          <w:tab w:val="right" w:leader="dot" w:pos="8494"/>
        </w:tabs>
        <w:spacing w:line="360" w:lineRule="auto"/>
        <w:ind w:leftChars="0" w:left="0"/>
        <w:rPr>
          <w:rFonts w:ascii="宋体" w:hAnsi="宋体"/>
          <w:noProof/>
          <w:sz w:val="28"/>
        </w:rPr>
      </w:pPr>
      <w:hyperlink w:anchor="_Toc124325899" w:history="1">
        <w:r w:rsidR="00F874ED">
          <w:rPr>
            <w:rStyle w:val="ab"/>
            <w:rFonts w:ascii="宋体" w:hAnsi="宋体" w:hint="eastAsia"/>
            <w:noProof/>
            <w:sz w:val="28"/>
            <w:szCs w:val="32"/>
          </w:rPr>
          <w:t>十五、禁止行为</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_Toc124325899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40</w:t>
        </w:r>
        <w:r w:rsidR="00F874ED">
          <w:rPr>
            <w:rFonts w:ascii="宋体" w:hAnsi="宋体" w:hint="eastAsia"/>
            <w:noProof/>
            <w:webHidden/>
            <w:sz w:val="28"/>
          </w:rPr>
          <w:fldChar w:fldCharType="end"/>
        </w:r>
      </w:hyperlink>
    </w:p>
    <w:p w14:paraId="6DFE2BE5" w14:textId="6AF8D065" w:rsidR="00691EA2" w:rsidRDefault="00BA36ED">
      <w:pPr>
        <w:pStyle w:val="af0"/>
        <w:tabs>
          <w:tab w:val="right" w:leader="dot" w:pos="8494"/>
        </w:tabs>
        <w:spacing w:line="360" w:lineRule="auto"/>
        <w:ind w:leftChars="0" w:left="0"/>
        <w:rPr>
          <w:rFonts w:ascii="宋体" w:hAnsi="宋体"/>
          <w:noProof/>
          <w:sz w:val="28"/>
        </w:rPr>
      </w:pPr>
      <w:hyperlink w:anchor="_Toc124325900" w:history="1">
        <w:r w:rsidR="00F874ED">
          <w:rPr>
            <w:rStyle w:val="ab"/>
            <w:rFonts w:ascii="宋体" w:hAnsi="宋体" w:hint="eastAsia"/>
            <w:noProof/>
            <w:sz w:val="28"/>
            <w:szCs w:val="32"/>
          </w:rPr>
          <w:t>十六、托管协议的变更、终止与基金财产的清算</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_Toc124325900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41</w:t>
        </w:r>
        <w:r w:rsidR="00F874ED">
          <w:rPr>
            <w:rFonts w:ascii="宋体" w:hAnsi="宋体" w:hint="eastAsia"/>
            <w:noProof/>
            <w:webHidden/>
            <w:sz w:val="28"/>
          </w:rPr>
          <w:fldChar w:fldCharType="end"/>
        </w:r>
      </w:hyperlink>
    </w:p>
    <w:p w14:paraId="4AE6D977" w14:textId="18B6300D" w:rsidR="00691EA2" w:rsidRDefault="00BA36ED">
      <w:pPr>
        <w:pStyle w:val="af0"/>
        <w:tabs>
          <w:tab w:val="right" w:leader="dot" w:pos="8494"/>
        </w:tabs>
        <w:spacing w:line="360" w:lineRule="auto"/>
        <w:ind w:leftChars="0" w:left="0"/>
        <w:rPr>
          <w:rFonts w:ascii="宋体" w:hAnsi="宋体"/>
          <w:noProof/>
          <w:sz w:val="28"/>
        </w:rPr>
      </w:pPr>
      <w:hyperlink w:anchor="_Toc124325901" w:history="1">
        <w:r w:rsidR="00F874ED">
          <w:rPr>
            <w:rStyle w:val="ab"/>
            <w:rFonts w:ascii="宋体" w:hAnsi="宋体" w:hint="eastAsia"/>
            <w:noProof/>
            <w:sz w:val="28"/>
            <w:szCs w:val="32"/>
          </w:rPr>
          <w:t>十七、违约责任</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_Toc124325901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43</w:t>
        </w:r>
        <w:r w:rsidR="00F874ED">
          <w:rPr>
            <w:rFonts w:ascii="宋体" w:hAnsi="宋体" w:hint="eastAsia"/>
            <w:noProof/>
            <w:webHidden/>
            <w:sz w:val="28"/>
          </w:rPr>
          <w:fldChar w:fldCharType="end"/>
        </w:r>
      </w:hyperlink>
    </w:p>
    <w:p w14:paraId="15318C04" w14:textId="3D1D2F88" w:rsidR="00691EA2" w:rsidRDefault="00BA36ED">
      <w:pPr>
        <w:pStyle w:val="af0"/>
        <w:tabs>
          <w:tab w:val="right" w:leader="dot" w:pos="8494"/>
        </w:tabs>
        <w:spacing w:line="360" w:lineRule="auto"/>
        <w:ind w:leftChars="0" w:left="0"/>
        <w:rPr>
          <w:rFonts w:ascii="宋体" w:hAnsi="宋体"/>
          <w:noProof/>
          <w:sz w:val="28"/>
        </w:rPr>
      </w:pPr>
      <w:hyperlink w:anchor="_Toc124325902" w:history="1">
        <w:r w:rsidR="00F874ED">
          <w:rPr>
            <w:rStyle w:val="ab"/>
            <w:rFonts w:ascii="宋体" w:hAnsi="宋体" w:hint="eastAsia"/>
            <w:noProof/>
            <w:sz w:val="28"/>
            <w:szCs w:val="32"/>
          </w:rPr>
          <w:t>十八、争议解决方式</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_Toc124325902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44</w:t>
        </w:r>
        <w:r w:rsidR="00F874ED">
          <w:rPr>
            <w:rFonts w:ascii="宋体" w:hAnsi="宋体" w:hint="eastAsia"/>
            <w:noProof/>
            <w:webHidden/>
            <w:sz w:val="28"/>
          </w:rPr>
          <w:fldChar w:fldCharType="end"/>
        </w:r>
      </w:hyperlink>
    </w:p>
    <w:p w14:paraId="28D52A81" w14:textId="03093CFD" w:rsidR="00691EA2" w:rsidRDefault="00BA36ED">
      <w:pPr>
        <w:pStyle w:val="af0"/>
        <w:tabs>
          <w:tab w:val="right" w:leader="dot" w:pos="8494"/>
        </w:tabs>
        <w:spacing w:line="360" w:lineRule="auto"/>
        <w:ind w:leftChars="0" w:left="0"/>
        <w:rPr>
          <w:rFonts w:ascii="宋体" w:hAnsi="宋体"/>
          <w:noProof/>
          <w:sz w:val="28"/>
        </w:rPr>
      </w:pPr>
      <w:hyperlink w:anchor="_Toc124325903" w:history="1">
        <w:r w:rsidR="00F874ED">
          <w:rPr>
            <w:rStyle w:val="ab"/>
            <w:rFonts w:ascii="宋体" w:hAnsi="宋体" w:hint="eastAsia"/>
            <w:noProof/>
            <w:sz w:val="28"/>
            <w:szCs w:val="32"/>
          </w:rPr>
          <w:t>十九、托管协议的效力</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_Toc124325903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45</w:t>
        </w:r>
        <w:r w:rsidR="00F874ED">
          <w:rPr>
            <w:rFonts w:ascii="宋体" w:hAnsi="宋体" w:hint="eastAsia"/>
            <w:noProof/>
            <w:webHidden/>
            <w:sz w:val="28"/>
          </w:rPr>
          <w:fldChar w:fldCharType="end"/>
        </w:r>
      </w:hyperlink>
    </w:p>
    <w:p w14:paraId="14CC616B" w14:textId="112E1C8B" w:rsidR="00691EA2" w:rsidRDefault="00BA36ED">
      <w:pPr>
        <w:pStyle w:val="af0"/>
        <w:tabs>
          <w:tab w:val="right" w:leader="dot" w:pos="8494"/>
        </w:tabs>
        <w:spacing w:line="360" w:lineRule="auto"/>
        <w:ind w:leftChars="0" w:left="0"/>
        <w:rPr>
          <w:rFonts w:ascii="宋体" w:hAnsi="宋体"/>
          <w:noProof/>
          <w:sz w:val="28"/>
        </w:rPr>
      </w:pPr>
      <w:hyperlink w:anchor="_Toc124325904" w:history="1">
        <w:r w:rsidR="00F874ED">
          <w:rPr>
            <w:rStyle w:val="ab"/>
            <w:rFonts w:ascii="宋体" w:hAnsi="宋体" w:hint="eastAsia"/>
            <w:noProof/>
            <w:sz w:val="28"/>
            <w:szCs w:val="32"/>
          </w:rPr>
          <w:t>二十、其他事项</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_Toc124325904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46</w:t>
        </w:r>
        <w:r w:rsidR="00F874ED">
          <w:rPr>
            <w:rFonts w:ascii="宋体" w:hAnsi="宋体" w:hint="eastAsia"/>
            <w:noProof/>
            <w:webHidden/>
            <w:sz w:val="28"/>
          </w:rPr>
          <w:fldChar w:fldCharType="end"/>
        </w:r>
      </w:hyperlink>
    </w:p>
    <w:p w14:paraId="7FC21571" w14:textId="784F4542" w:rsidR="00691EA2" w:rsidRDefault="00BA36ED">
      <w:pPr>
        <w:pStyle w:val="af0"/>
        <w:tabs>
          <w:tab w:val="right" w:leader="dot" w:pos="8494"/>
        </w:tabs>
        <w:spacing w:line="360" w:lineRule="auto"/>
        <w:ind w:leftChars="0" w:left="0"/>
        <w:rPr>
          <w:rFonts w:ascii="宋体" w:hAnsi="宋体"/>
          <w:noProof/>
          <w:sz w:val="28"/>
        </w:rPr>
      </w:pPr>
      <w:hyperlink w:anchor="_Toc124325905" w:history="1">
        <w:r w:rsidR="00F874ED">
          <w:rPr>
            <w:rStyle w:val="ab"/>
            <w:rFonts w:ascii="宋体" w:hAnsi="宋体" w:hint="eastAsia"/>
            <w:noProof/>
            <w:sz w:val="28"/>
            <w:szCs w:val="32"/>
          </w:rPr>
          <w:t>二十一、托管协议的签订</w:t>
        </w:r>
        <w:r w:rsidR="00F874ED">
          <w:rPr>
            <w:rFonts w:ascii="宋体" w:hAnsi="宋体" w:hint="eastAsia"/>
            <w:noProof/>
            <w:webHidden/>
            <w:sz w:val="28"/>
          </w:rPr>
          <w:tab/>
        </w:r>
        <w:r w:rsidR="00F874ED">
          <w:rPr>
            <w:rFonts w:ascii="宋体" w:hAnsi="宋体" w:hint="eastAsia"/>
            <w:noProof/>
            <w:webHidden/>
            <w:sz w:val="28"/>
          </w:rPr>
          <w:fldChar w:fldCharType="begin"/>
        </w:r>
        <w:r w:rsidR="00F874ED">
          <w:rPr>
            <w:rFonts w:ascii="宋体" w:hAnsi="宋体" w:hint="eastAsia"/>
            <w:noProof/>
            <w:webHidden/>
            <w:sz w:val="28"/>
          </w:rPr>
          <w:instrText xml:space="preserve"> PAGEREF _Toc124325905 \h </w:instrText>
        </w:r>
        <w:r w:rsidR="00F874ED">
          <w:rPr>
            <w:rFonts w:ascii="宋体" w:hAnsi="宋体" w:hint="eastAsia"/>
            <w:noProof/>
            <w:webHidden/>
            <w:sz w:val="28"/>
          </w:rPr>
        </w:r>
        <w:r w:rsidR="00F874ED">
          <w:rPr>
            <w:rFonts w:ascii="宋体" w:hAnsi="宋体" w:hint="eastAsia"/>
            <w:noProof/>
            <w:webHidden/>
            <w:sz w:val="28"/>
          </w:rPr>
          <w:fldChar w:fldCharType="separate"/>
        </w:r>
        <w:r w:rsidR="00EB6B3F">
          <w:rPr>
            <w:rFonts w:ascii="宋体" w:hAnsi="宋体"/>
            <w:noProof/>
            <w:webHidden/>
            <w:sz w:val="28"/>
          </w:rPr>
          <w:t>47</w:t>
        </w:r>
        <w:r w:rsidR="00F874ED">
          <w:rPr>
            <w:rFonts w:ascii="宋体" w:hAnsi="宋体" w:hint="eastAsia"/>
            <w:noProof/>
            <w:webHidden/>
            <w:sz w:val="28"/>
          </w:rPr>
          <w:fldChar w:fldCharType="end"/>
        </w:r>
      </w:hyperlink>
    </w:p>
    <w:p w14:paraId="53BD8C81" w14:textId="77777777" w:rsidR="00691EA2" w:rsidRDefault="00F874ED">
      <w:pPr>
        <w:spacing w:line="360" w:lineRule="auto"/>
        <w:rPr>
          <w:rFonts w:ascii="宋体" w:eastAsia="宋体" w:hAnsi="宋体"/>
          <w:sz w:val="24"/>
        </w:rPr>
      </w:pPr>
      <w:r>
        <w:rPr>
          <w:rFonts w:ascii="宋体" w:eastAsia="宋体" w:hAnsi="宋体" w:hint="eastAsia"/>
          <w:sz w:val="28"/>
        </w:rPr>
        <w:lastRenderedPageBreak/>
        <w:fldChar w:fldCharType="end"/>
      </w:r>
    </w:p>
    <w:p w14:paraId="29C425D4" w14:textId="62F05FB8" w:rsidR="00691EA2" w:rsidRDefault="00F874ED">
      <w:pPr>
        <w:widowControl/>
        <w:adjustRightInd w:val="0"/>
        <w:snapToGrid w:val="0"/>
        <w:spacing w:line="400" w:lineRule="exact"/>
        <w:ind w:firstLineChars="200" w:firstLine="480"/>
        <w:rPr>
          <w:rFonts w:ascii="宋体" w:eastAsia="宋体" w:hAnsi="宋体" w:cs="Arial"/>
          <w:kern w:val="0"/>
          <w:sz w:val="24"/>
        </w:rPr>
      </w:pPr>
      <w:r>
        <w:rPr>
          <w:rFonts w:ascii="宋体" w:eastAsia="宋体" w:hAnsi="宋体" w:cs="Arial" w:hint="eastAsia"/>
          <w:kern w:val="0"/>
          <w:sz w:val="24"/>
        </w:rPr>
        <w:t>鉴于兴证全球基金管理有限公司系一家依照中国法律合法成立并有效存续的有限责任公司，按照相关法律法规的规定具备担任基金管理人的资格和能力，拟募集发行兴证全球中证沪港深300指数增强型证券投资基金；</w:t>
      </w:r>
    </w:p>
    <w:p w14:paraId="64EBFE3F" w14:textId="77777777" w:rsidR="00691EA2" w:rsidRDefault="00F874ED">
      <w:pPr>
        <w:widowControl/>
        <w:adjustRightInd w:val="0"/>
        <w:snapToGrid w:val="0"/>
        <w:spacing w:line="400" w:lineRule="exact"/>
        <w:ind w:firstLineChars="200" w:firstLine="480"/>
        <w:rPr>
          <w:rFonts w:ascii="宋体" w:eastAsia="宋体" w:hAnsi="宋体" w:cs="Arial"/>
          <w:kern w:val="0"/>
          <w:sz w:val="24"/>
        </w:rPr>
      </w:pPr>
      <w:r>
        <w:rPr>
          <w:rFonts w:ascii="宋体" w:eastAsia="宋体" w:hAnsi="宋体" w:cs="Arial" w:hint="eastAsia"/>
          <w:kern w:val="0"/>
          <w:sz w:val="24"/>
        </w:rPr>
        <w:t>鉴于中国建设银行股份有限公司系一家依照中国法律合法成立并有效存续的银行，按照相关法律法规的规定具备担任基金托管人的资格和能力；</w:t>
      </w:r>
    </w:p>
    <w:p w14:paraId="4C85949F" w14:textId="7F571742" w:rsidR="00691EA2" w:rsidRDefault="00F874ED">
      <w:pPr>
        <w:widowControl/>
        <w:adjustRightInd w:val="0"/>
        <w:snapToGrid w:val="0"/>
        <w:spacing w:line="400" w:lineRule="exact"/>
        <w:ind w:firstLineChars="200" w:firstLine="480"/>
        <w:rPr>
          <w:rFonts w:ascii="宋体" w:eastAsia="宋体" w:hAnsi="宋体" w:cs="Arial"/>
          <w:kern w:val="0"/>
          <w:sz w:val="24"/>
        </w:rPr>
      </w:pPr>
      <w:r>
        <w:rPr>
          <w:rFonts w:ascii="宋体" w:eastAsia="宋体" w:hAnsi="宋体" w:cs="Arial" w:hint="eastAsia"/>
          <w:kern w:val="0"/>
          <w:sz w:val="24"/>
        </w:rPr>
        <w:t>鉴于兴证全球基金管理有限公司拟担任兴证全球中证沪港深300指数增强型证券投资基金的基金管理人，中国建设银行股份有限公司拟担任兴证全球中证沪港深300指数增强型证券投资基金的基金托管人；</w:t>
      </w:r>
    </w:p>
    <w:p w14:paraId="3BA37A85" w14:textId="4B24465F" w:rsidR="00691EA2" w:rsidRDefault="00F874ED">
      <w:pPr>
        <w:widowControl/>
        <w:adjustRightInd w:val="0"/>
        <w:snapToGrid w:val="0"/>
        <w:spacing w:line="400" w:lineRule="exact"/>
        <w:ind w:firstLineChars="200" w:firstLine="480"/>
        <w:rPr>
          <w:rFonts w:ascii="宋体" w:eastAsia="宋体" w:hAnsi="宋体" w:cs="Arial"/>
          <w:kern w:val="0"/>
          <w:sz w:val="24"/>
        </w:rPr>
      </w:pPr>
      <w:r>
        <w:rPr>
          <w:rFonts w:ascii="宋体" w:eastAsia="宋体" w:hAnsi="宋体" w:cs="Arial" w:hint="eastAsia"/>
          <w:kern w:val="0"/>
          <w:sz w:val="24"/>
        </w:rPr>
        <w:t>为明确兴证全球中证沪港深300指数增强型证券投资基金的基金管理人和基金托管人之间的权利义务关系，特制订本托管协议；</w:t>
      </w:r>
    </w:p>
    <w:p w14:paraId="09A0033B" w14:textId="49AC8D0B" w:rsidR="00691EA2" w:rsidRDefault="00F874ED">
      <w:pPr>
        <w:widowControl/>
        <w:adjustRightInd w:val="0"/>
        <w:snapToGrid w:val="0"/>
        <w:spacing w:line="400" w:lineRule="exact"/>
        <w:ind w:firstLineChars="200" w:firstLine="480"/>
        <w:rPr>
          <w:rFonts w:ascii="宋体" w:eastAsia="宋体" w:hAnsi="宋体" w:cs="Arial"/>
          <w:kern w:val="0"/>
          <w:sz w:val="24"/>
          <w:lang w:val="en-GB"/>
        </w:rPr>
      </w:pPr>
      <w:r>
        <w:rPr>
          <w:rFonts w:ascii="宋体" w:eastAsia="宋体" w:hAnsi="宋体" w:cs="Arial" w:hint="eastAsia"/>
          <w:kern w:val="0"/>
          <w:sz w:val="24"/>
          <w:lang w:val="en-GB"/>
        </w:rPr>
        <w:t>除非另有约定，《兴证全球中证沪港深300</w:t>
      </w:r>
      <w:r>
        <w:rPr>
          <w:rFonts w:ascii="宋体" w:eastAsia="宋体" w:hAnsi="宋体" w:cs="Arial" w:hint="eastAsia"/>
          <w:kern w:val="0"/>
          <w:sz w:val="24"/>
        </w:rPr>
        <w:t>指数增强型</w:t>
      </w:r>
      <w:r>
        <w:rPr>
          <w:rFonts w:ascii="宋体" w:eastAsia="宋体" w:hAnsi="宋体" w:cs="Arial" w:hint="eastAsia"/>
          <w:kern w:val="0"/>
          <w:sz w:val="24"/>
          <w:lang w:val="en-GB"/>
        </w:rPr>
        <w:t>证券投资基金基金合同》(以下简称“基金合同”)中定义的术语在用于本托管协议时应具有相同的含义；若有抵触应以《基金合同》为准，并依其</w:t>
      </w:r>
      <w:r>
        <w:rPr>
          <w:rFonts w:ascii="宋体" w:eastAsia="宋体" w:hAnsi="宋体" w:cs="Arial" w:hint="eastAsia"/>
          <w:kern w:val="0"/>
          <w:sz w:val="24"/>
        </w:rPr>
        <w:t>条款</w:t>
      </w:r>
      <w:r>
        <w:rPr>
          <w:rFonts w:ascii="宋体" w:eastAsia="宋体" w:hAnsi="宋体" w:cs="Arial" w:hint="eastAsia"/>
          <w:kern w:val="0"/>
          <w:sz w:val="24"/>
          <w:lang w:val="en-GB"/>
        </w:rPr>
        <w:t>解释。</w:t>
      </w:r>
    </w:p>
    <w:p w14:paraId="5AA8A9C7" w14:textId="77777777" w:rsidR="00691EA2" w:rsidRDefault="00F874ED">
      <w:pPr>
        <w:widowControl/>
        <w:jc w:val="left"/>
        <w:rPr>
          <w:rFonts w:ascii="宋体" w:eastAsia="宋体" w:hAnsi="宋体" w:cs="Arial"/>
          <w:kern w:val="0"/>
          <w:sz w:val="24"/>
          <w:lang w:val="en-GB"/>
        </w:rPr>
      </w:pPr>
      <w:r>
        <w:rPr>
          <w:rFonts w:ascii="宋体" w:eastAsia="宋体" w:hAnsi="宋体" w:cs="Arial"/>
          <w:kern w:val="0"/>
          <w:sz w:val="24"/>
          <w:lang w:val="en-GB"/>
        </w:rPr>
        <w:br w:type="page"/>
      </w:r>
    </w:p>
    <w:p w14:paraId="13860BBD" w14:textId="77777777" w:rsidR="00691EA2" w:rsidRDefault="00691EA2">
      <w:pPr>
        <w:widowControl/>
        <w:adjustRightInd w:val="0"/>
        <w:snapToGrid w:val="0"/>
        <w:spacing w:line="400" w:lineRule="exact"/>
        <w:ind w:firstLineChars="200" w:firstLine="480"/>
        <w:rPr>
          <w:rFonts w:ascii="宋体" w:eastAsia="宋体" w:hAnsi="宋体" w:cs="Arial"/>
          <w:kern w:val="0"/>
          <w:sz w:val="24"/>
          <w:lang w:val="en-GB"/>
        </w:rPr>
      </w:pPr>
    </w:p>
    <w:p w14:paraId="187D2056" w14:textId="77777777" w:rsidR="00691EA2" w:rsidRDefault="00F874ED">
      <w:pPr>
        <w:pStyle w:val="2"/>
        <w:spacing w:line="400" w:lineRule="exact"/>
        <w:jc w:val="center"/>
        <w:rPr>
          <w:rFonts w:ascii="宋体" w:eastAsia="宋体" w:hAnsi="宋体"/>
        </w:rPr>
      </w:pPr>
      <w:bookmarkStart w:id="1" w:name="_Toc124325885"/>
      <w:r>
        <w:rPr>
          <w:rFonts w:ascii="宋体" w:eastAsia="宋体" w:hAnsi="宋体" w:hint="eastAsia"/>
        </w:rPr>
        <w:t>一、基金托管协议当事人</w:t>
      </w:r>
      <w:bookmarkEnd w:id="1"/>
    </w:p>
    <w:p w14:paraId="134E527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（一）基金管理人</w:t>
      </w:r>
    </w:p>
    <w:p w14:paraId="3EBD92A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名称：兴证全球基金管理有限公司</w:t>
      </w:r>
    </w:p>
    <w:p w14:paraId="09B066E4"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注册地址：上海市黄浦区金陵东路</w:t>
      </w:r>
      <w:r>
        <w:rPr>
          <w:rFonts w:ascii="宋体" w:eastAsia="宋体" w:hAnsi="宋体" w:cs="Arial"/>
          <w:sz w:val="24"/>
        </w:rPr>
        <w:t>368号</w:t>
      </w:r>
    </w:p>
    <w:p w14:paraId="4F67F83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邮政编码：</w:t>
      </w:r>
      <w:r>
        <w:rPr>
          <w:rFonts w:ascii="宋体" w:eastAsia="宋体" w:hAnsi="宋体" w:cs="Arial" w:hint="eastAsia"/>
          <w:sz w:val="24"/>
          <w:szCs w:val="24"/>
        </w:rPr>
        <w:t>201204</w:t>
      </w:r>
    </w:p>
    <w:p w14:paraId="62AA497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法定代表人：</w:t>
      </w:r>
      <w:r>
        <w:rPr>
          <w:rFonts w:ascii="宋体" w:eastAsia="宋体" w:hAnsi="宋体" w:cs="Arial" w:hint="eastAsia"/>
          <w:sz w:val="24"/>
          <w:szCs w:val="24"/>
        </w:rPr>
        <w:t>杨华辉</w:t>
      </w:r>
    </w:p>
    <w:p w14:paraId="39D070B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成立日期：</w:t>
      </w:r>
      <w:r>
        <w:rPr>
          <w:rFonts w:ascii="宋体" w:eastAsia="宋体" w:hAnsi="宋体" w:cs="Arial" w:hint="eastAsia"/>
          <w:sz w:val="24"/>
          <w:szCs w:val="24"/>
        </w:rPr>
        <w:t>2003年9月30</w:t>
      </w:r>
      <w:r>
        <w:rPr>
          <w:rFonts w:ascii="宋体" w:eastAsia="宋体" w:hAnsi="宋体" w:hint="eastAsia"/>
        </w:rPr>
        <w:t>日</w:t>
      </w:r>
    </w:p>
    <w:p w14:paraId="0C81995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批准设立机关及批准设立文号：中国证监会证监基金字</w:t>
      </w:r>
      <w:r>
        <w:rPr>
          <w:rFonts w:ascii="宋体" w:eastAsia="宋体" w:hAnsi="宋体"/>
        </w:rPr>
        <w:t>[</w:t>
      </w:r>
      <w:r>
        <w:rPr>
          <w:rFonts w:ascii="宋体" w:eastAsia="宋体" w:hAnsi="宋体" w:cs="Arial" w:hint="eastAsia"/>
          <w:sz w:val="24"/>
          <w:szCs w:val="24"/>
        </w:rPr>
        <w:t>2003]100号</w:t>
      </w:r>
    </w:p>
    <w:p w14:paraId="62E5600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组织形式：</w:t>
      </w:r>
      <w:r>
        <w:rPr>
          <w:rFonts w:ascii="宋体" w:eastAsia="宋体" w:hAnsi="宋体" w:cs="Arial" w:hint="eastAsia"/>
          <w:sz w:val="24"/>
          <w:szCs w:val="24"/>
        </w:rPr>
        <w:t>有限责任公司</w:t>
      </w:r>
    </w:p>
    <w:p w14:paraId="14A28F5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注册资本：人民币1</w:t>
      </w:r>
      <w:r>
        <w:rPr>
          <w:rFonts w:ascii="宋体" w:eastAsia="宋体" w:hAnsi="宋体" w:cs="Arial"/>
          <w:sz w:val="24"/>
        </w:rPr>
        <w:t>.5</w:t>
      </w:r>
      <w:r>
        <w:rPr>
          <w:rFonts w:ascii="宋体" w:eastAsia="宋体" w:hAnsi="宋体" w:cs="Arial" w:hint="eastAsia"/>
          <w:sz w:val="24"/>
        </w:rPr>
        <w:t>亿</w:t>
      </w:r>
      <w:r>
        <w:rPr>
          <w:rStyle w:val="read"/>
          <w:rFonts w:ascii="宋体" w:eastAsia="宋体" w:hAnsi="宋体" w:cs="Arial" w:hint="eastAsia"/>
          <w:sz w:val="24"/>
        </w:rPr>
        <w:t>元</w:t>
      </w:r>
    </w:p>
    <w:p w14:paraId="3B61D46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存续期间：</w:t>
      </w:r>
      <w:r>
        <w:rPr>
          <w:rFonts w:ascii="宋体" w:eastAsia="宋体" w:hAnsi="宋体" w:cs="Arial" w:hint="eastAsia"/>
          <w:sz w:val="24"/>
          <w:szCs w:val="24"/>
        </w:rPr>
        <w:t>持续经营</w:t>
      </w:r>
    </w:p>
    <w:p w14:paraId="331F0894"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经营范围：</w:t>
      </w:r>
      <w:r>
        <w:rPr>
          <w:rFonts w:ascii="宋体" w:eastAsia="宋体" w:hAnsi="宋体" w:cs="Arial" w:hint="eastAsia"/>
          <w:sz w:val="24"/>
          <w:szCs w:val="24"/>
        </w:rPr>
        <w:t>基金募集、基金销售、资产管理和中国证监会许可的其他业务</w:t>
      </w:r>
    </w:p>
    <w:p w14:paraId="4898EB5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（二）基金托管人</w:t>
      </w:r>
    </w:p>
    <w:p w14:paraId="2D89065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名称：中国建设银行股份有限公司(简称：中国建设银行)</w:t>
      </w:r>
    </w:p>
    <w:p w14:paraId="7CC588C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住所：北京市西城区金融大街25号</w:t>
      </w:r>
    </w:p>
    <w:p w14:paraId="411E261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邮政编码：100033</w:t>
      </w:r>
    </w:p>
    <w:p w14:paraId="3CA7554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法定代表人：张金良</w:t>
      </w:r>
    </w:p>
    <w:p w14:paraId="7A7F95B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Pr>
            <w:rFonts w:ascii="宋体" w:eastAsia="宋体" w:hAnsi="宋体" w:cs="Arial" w:hint="eastAsia"/>
            <w:sz w:val="24"/>
          </w:rPr>
          <w:t>2004年09月17日</w:t>
        </w:r>
      </w:smartTag>
    </w:p>
    <w:p w14:paraId="0B9EFF7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批准设立机关及批准设立文号：中国银监会银监复</w:t>
      </w:r>
      <w:r>
        <w:rPr>
          <w:rFonts w:ascii="宋体" w:eastAsia="宋体" w:hAnsi="宋体" w:cs="Arial"/>
          <w:sz w:val="24"/>
        </w:rPr>
        <w:t>[2004]143</w:t>
      </w:r>
      <w:r>
        <w:rPr>
          <w:rFonts w:ascii="宋体" w:eastAsia="宋体" w:hAnsi="宋体" w:cs="Arial" w:hint="eastAsia"/>
          <w:sz w:val="24"/>
        </w:rPr>
        <w:t>号</w:t>
      </w:r>
    </w:p>
    <w:p w14:paraId="6DBB79C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基金托管业务批准文号：中国证监会证监基字[1998</w:t>
      </w:r>
      <w:bookmarkStart w:id="2" w:name="OLE_LINK3"/>
      <w:r>
        <w:rPr>
          <w:rFonts w:ascii="宋体" w:eastAsia="宋体" w:hAnsi="宋体" w:cs="Arial" w:hint="eastAsia"/>
          <w:sz w:val="24"/>
        </w:rPr>
        <w:t>]</w:t>
      </w:r>
      <w:bookmarkEnd w:id="2"/>
      <w:r>
        <w:rPr>
          <w:rFonts w:ascii="宋体" w:eastAsia="宋体" w:hAnsi="宋体" w:cs="Arial" w:hint="eastAsia"/>
          <w:sz w:val="24"/>
        </w:rPr>
        <w:t>12号</w:t>
      </w:r>
    </w:p>
    <w:p w14:paraId="4C3BC9A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组织形式：股份有限公司</w:t>
      </w:r>
    </w:p>
    <w:p w14:paraId="2CB4810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注册资本：</w:t>
      </w:r>
      <w:r>
        <w:rPr>
          <w:rFonts w:ascii="宋体" w:eastAsia="宋体" w:hAnsi="宋体" w:hint="eastAsia"/>
          <w:sz w:val="24"/>
        </w:rPr>
        <w:t>贰仟伍佰亿壹仟零玖拾柒万柒仟肆佰捌拾陆元整</w:t>
      </w:r>
    </w:p>
    <w:p w14:paraId="23C7F16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存续期间：持续经营</w:t>
      </w:r>
    </w:p>
    <w:p w14:paraId="48856EF6" w14:textId="77777777" w:rsidR="00691EA2" w:rsidRDefault="00F874ED">
      <w:pPr>
        <w:tabs>
          <w:tab w:val="left" w:pos="540"/>
        </w:tabs>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1FEAC15" w14:textId="77777777" w:rsidR="00691EA2" w:rsidRDefault="00F874ED">
      <w:pPr>
        <w:widowControl/>
        <w:jc w:val="left"/>
        <w:rPr>
          <w:rFonts w:ascii="宋体" w:eastAsia="宋体" w:hAnsi="宋体"/>
          <w:sz w:val="24"/>
        </w:rPr>
      </w:pPr>
      <w:r>
        <w:rPr>
          <w:rFonts w:ascii="宋体" w:eastAsia="宋体" w:hAnsi="宋体"/>
          <w:sz w:val="24"/>
        </w:rPr>
        <w:br w:type="page"/>
      </w:r>
    </w:p>
    <w:p w14:paraId="621C7DDD" w14:textId="77777777" w:rsidR="00691EA2" w:rsidRDefault="00691EA2">
      <w:pPr>
        <w:spacing w:line="400" w:lineRule="exact"/>
        <w:rPr>
          <w:rFonts w:ascii="宋体" w:eastAsia="宋体" w:hAnsi="宋体"/>
          <w:sz w:val="24"/>
        </w:rPr>
      </w:pPr>
    </w:p>
    <w:p w14:paraId="7A157820" w14:textId="77777777" w:rsidR="00691EA2" w:rsidRDefault="00F874ED">
      <w:pPr>
        <w:pStyle w:val="2"/>
        <w:spacing w:line="400" w:lineRule="exact"/>
        <w:jc w:val="center"/>
        <w:rPr>
          <w:rFonts w:ascii="宋体" w:eastAsia="宋体" w:hAnsi="宋体"/>
          <w:sz w:val="30"/>
        </w:rPr>
      </w:pPr>
      <w:bookmarkStart w:id="3" w:name="_Toc124325886"/>
      <w:r>
        <w:rPr>
          <w:rFonts w:ascii="宋体" w:eastAsia="宋体" w:hAnsi="宋体" w:hint="eastAsia"/>
          <w:sz w:val="30"/>
        </w:rPr>
        <w:t>二、基金托管协议的依据、目的和原则</w:t>
      </w:r>
      <w:bookmarkEnd w:id="3"/>
    </w:p>
    <w:p w14:paraId="24AE5299" w14:textId="77777777" w:rsidR="00691EA2" w:rsidRDefault="00F874ED">
      <w:pPr>
        <w:adjustRightInd w:val="0"/>
        <w:snapToGrid w:val="0"/>
        <w:spacing w:line="400" w:lineRule="exact"/>
        <w:ind w:firstLineChars="200" w:firstLine="480"/>
        <w:rPr>
          <w:rFonts w:ascii="宋体" w:eastAsia="宋体" w:hAnsi="宋体"/>
          <w:sz w:val="24"/>
          <w:szCs w:val="30"/>
        </w:rPr>
      </w:pPr>
      <w:r>
        <w:rPr>
          <w:rFonts w:ascii="宋体" w:eastAsia="宋体" w:hAnsi="宋体" w:cs="Arial" w:hint="eastAsia"/>
          <w:sz w:val="24"/>
        </w:rPr>
        <w:t>（一）订立托管协议的依据</w:t>
      </w:r>
    </w:p>
    <w:p w14:paraId="4EA36B8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本协议依据《中华人民共和国证券投资基金法》(以下简称“《基金法》”)等有关法律法规、《基金合同》及其他有关规定制订。</w:t>
      </w:r>
    </w:p>
    <w:p w14:paraId="6E602F5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（二）订立托管协议的目的</w:t>
      </w:r>
    </w:p>
    <w:p w14:paraId="7B0529FE" w14:textId="77777777" w:rsidR="00691EA2" w:rsidRDefault="00F874ED">
      <w:pPr>
        <w:adjustRightInd w:val="0"/>
        <w:snapToGrid w:val="0"/>
        <w:spacing w:line="400" w:lineRule="exact"/>
        <w:ind w:firstLineChars="200" w:firstLine="480"/>
        <w:rPr>
          <w:rFonts w:ascii="宋体" w:eastAsia="宋体" w:hAnsi="宋体"/>
          <w:sz w:val="24"/>
          <w:szCs w:val="30"/>
        </w:rPr>
      </w:pPr>
      <w:r>
        <w:rPr>
          <w:rFonts w:ascii="宋体" w:eastAsia="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28EC3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（三）订立托管协议的原则</w:t>
      </w:r>
    </w:p>
    <w:p w14:paraId="0CF9AB1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基金管理人和基金托管人本着平等自愿、诚实信用、充分保护基金份额持有人合法权益的原则，经协商一致，签订本协议。</w:t>
      </w:r>
    </w:p>
    <w:p w14:paraId="6125F117"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079EE7BC" w14:textId="77777777" w:rsidR="00691EA2" w:rsidRDefault="00691EA2">
      <w:pPr>
        <w:adjustRightInd w:val="0"/>
        <w:snapToGrid w:val="0"/>
        <w:spacing w:line="400" w:lineRule="exact"/>
        <w:ind w:firstLineChars="200" w:firstLine="480"/>
        <w:rPr>
          <w:rFonts w:ascii="宋体" w:eastAsia="宋体" w:hAnsi="宋体" w:cs="Arial"/>
          <w:sz w:val="24"/>
        </w:rPr>
      </w:pPr>
    </w:p>
    <w:p w14:paraId="762CCBBE" w14:textId="77777777" w:rsidR="00691EA2" w:rsidRDefault="00F874ED">
      <w:pPr>
        <w:pStyle w:val="2"/>
        <w:spacing w:line="400" w:lineRule="exact"/>
        <w:jc w:val="center"/>
        <w:rPr>
          <w:rFonts w:ascii="宋体" w:eastAsia="宋体" w:hAnsi="宋体"/>
          <w:sz w:val="30"/>
          <w:szCs w:val="24"/>
        </w:rPr>
      </w:pPr>
      <w:bookmarkStart w:id="4" w:name="_Toc124325887"/>
      <w:r>
        <w:rPr>
          <w:rFonts w:ascii="宋体" w:eastAsia="宋体" w:hAnsi="宋体" w:hint="eastAsia"/>
          <w:sz w:val="30"/>
        </w:rPr>
        <w:t>三、基金托管人对基金管理人的业务监督和核查</w:t>
      </w:r>
      <w:bookmarkEnd w:id="4"/>
    </w:p>
    <w:p w14:paraId="2F913DE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20150FC" w14:textId="7BABB35D" w:rsidR="00691EA2" w:rsidRDefault="00F874ED">
      <w:pPr>
        <w:adjustRightInd w:val="0"/>
        <w:snapToGrid w:val="0"/>
        <w:spacing w:line="400" w:lineRule="exact"/>
        <w:ind w:firstLineChars="200" w:firstLine="480"/>
        <w:rPr>
          <w:rFonts w:ascii="宋体" w:eastAsia="宋体" w:hAnsi="宋体" w:cs="Arial"/>
          <w:bCs/>
          <w:sz w:val="24"/>
        </w:rPr>
      </w:pPr>
      <w:bookmarkStart w:id="5" w:name="_Hlk101346503"/>
      <w:r>
        <w:rPr>
          <w:rFonts w:ascii="宋体" w:eastAsia="宋体" w:hAnsi="宋体" w:cs="Arial" w:hint="eastAsia"/>
          <w:bCs/>
          <w:sz w:val="24"/>
        </w:rPr>
        <w:t>本基金的投资范围为具有良好流动性的金融工具，包括中证沪港深300</w:t>
      </w:r>
      <w:r>
        <w:rPr>
          <w:rFonts w:ascii="宋体" w:eastAsia="宋体" w:hAnsi="宋体" w:cs="Arial"/>
          <w:bCs/>
          <w:sz w:val="24"/>
        </w:rPr>
        <w:t>指数的成份股及其备选成份股、其他非指数成</w:t>
      </w:r>
      <w:r>
        <w:rPr>
          <w:rFonts w:ascii="宋体" w:eastAsia="宋体" w:hAnsi="宋体" w:cs="Arial" w:hint="eastAsia"/>
          <w:bCs/>
          <w:sz w:val="24"/>
        </w:rPr>
        <w:t>份</w:t>
      </w:r>
      <w:r>
        <w:rPr>
          <w:rFonts w:ascii="宋体" w:eastAsia="宋体" w:hAnsi="宋体" w:cs="Arial"/>
          <w:bCs/>
          <w:sz w:val="24"/>
        </w:rPr>
        <w:t>股(包含主板、创业板及其他国内依法发行上市的股票及存托凭证)、</w:t>
      </w:r>
      <w:r>
        <w:rPr>
          <w:rFonts w:ascii="宋体" w:eastAsia="宋体" w:hAnsi="宋体" w:cs="Arial" w:hint="eastAsia"/>
          <w:bCs/>
          <w:sz w:val="24"/>
        </w:rPr>
        <w:t>港股通标的股票、</w:t>
      </w:r>
      <w:r>
        <w:rPr>
          <w:rFonts w:ascii="宋体" w:eastAsia="宋体" w:hAnsi="宋体" w:cs="Arial"/>
          <w:bCs/>
          <w:sz w:val="24"/>
        </w:rPr>
        <w:t>债券(包括国债、地方政府债、</w:t>
      </w:r>
      <w:r>
        <w:rPr>
          <w:rFonts w:ascii="宋体" w:eastAsia="宋体" w:hAnsi="宋体" w:cs="Arial" w:hint="eastAsia"/>
          <w:bCs/>
          <w:sz w:val="24"/>
        </w:rPr>
        <w:t>政府支持债券、政府支持机构债券、</w:t>
      </w:r>
      <w:r>
        <w:rPr>
          <w:rFonts w:ascii="宋体" w:eastAsia="宋体" w:hAnsi="宋体" w:cs="Arial"/>
          <w:bCs/>
          <w:sz w:val="24"/>
        </w:rPr>
        <w:t>金融债、企业债、公司债、公开发行的次级债、可转换债券(含分离交易可转债的纯债部分)、可交换公司债券、央行票据、短期融资券、超短期融资券、中期票据等)、资产支持证券、债券回购、同业存单、银行存款、金融衍生工具(包括股指期货、国债期货、股票期权)、货币市场工具以及法律法规或中国证监会允许基金投资的其他金融工具(但</w:t>
      </w:r>
      <w:r>
        <w:rPr>
          <w:rFonts w:ascii="宋体" w:eastAsia="宋体" w:hAnsi="宋体" w:cs="Arial" w:hint="eastAsia"/>
          <w:bCs/>
          <w:sz w:val="24"/>
        </w:rPr>
        <w:t>须符合中国证监会的相关规定</w:t>
      </w:r>
      <w:r>
        <w:rPr>
          <w:rFonts w:ascii="宋体" w:eastAsia="宋体" w:hAnsi="宋体" w:cs="Arial"/>
          <w:bCs/>
          <w:sz w:val="24"/>
        </w:rPr>
        <w:t>)。</w:t>
      </w:r>
    </w:p>
    <w:p w14:paraId="378CD3FA"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本基金可根据相关法律法规和基金合同的约定，参与融资业务和转融通证券出借业务。如法律法规或监管机构以后允许基金投资其他品种，基金管理人在履行适当程序后，可以将其纳入投资范围。</w:t>
      </w:r>
    </w:p>
    <w:p w14:paraId="30ACDE2F"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基金的投资组合比例为：本基金投资于股票的资产比例不低于基金资产的</w:t>
      </w:r>
      <w:r>
        <w:rPr>
          <w:rFonts w:ascii="宋体" w:eastAsia="宋体" w:hAnsi="宋体" w:cs="Arial"/>
          <w:bCs/>
          <w:sz w:val="24"/>
        </w:rPr>
        <w:t>80%，投资于中证</w:t>
      </w:r>
      <w:r>
        <w:rPr>
          <w:rFonts w:ascii="宋体" w:eastAsia="宋体" w:hAnsi="宋体" w:cs="Arial" w:hint="eastAsia"/>
          <w:bCs/>
          <w:sz w:val="24"/>
        </w:rPr>
        <w:t>沪港深300</w:t>
      </w:r>
      <w:r>
        <w:rPr>
          <w:rFonts w:ascii="宋体" w:eastAsia="宋体" w:hAnsi="宋体" w:cs="Arial"/>
          <w:bCs/>
          <w:sz w:val="24"/>
        </w:rPr>
        <w:t>指数</w:t>
      </w:r>
      <w:r>
        <w:rPr>
          <w:rFonts w:ascii="宋体" w:eastAsia="宋体" w:hAnsi="宋体" w:cs="Arial" w:hint="eastAsia"/>
          <w:bCs/>
          <w:sz w:val="24"/>
        </w:rPr>
        <w:t>的</w:t>
      </w:r>
      <w:r>
        <w:rPr>
          <w:rFonts w:ascii="宋体" w:eastAsia="宋体" w:hAnsi="宋体" w:cs="Arial"/>
          <w:bCs/>
          <w:sz w:val="24"/>
        </w:rPr>
        <w:t>成份股和备选成份股的资产比例不低于非现金基金资产的80%。本基金每个交易日日终在扣除股指期货合约、国债期货合约和股票期权合约需缴纳的交易保证金后，本基金应当保持现金或者到期日在一年以内的政府债券投资比例合计不低于基金资产净值的5%；其中，现金不包括结算备付金、存出保证金、应收申购款等。</w:t>
      </w:r>
    </w:p>
    <w:p w14:paraId="72D48C09" w14:textId="77777777" w:rsidR="00691EA2" w:rsidRDefault="00F874ED">
      <w:pPr>
        <w:adjustRightInd w:val="0"/>
        <w:snapToGrid w:val="0"/>
        <w:spacing w:line="400" w:lineRule="exact"/>
        <w:ind w:firstLineChars="200" w:firstLine="480"/>
        <w:rPr>
          <w:rFonts w:ascii="宋体" w:eastAsia="宋体" w:hAnsi="宋体" w:cs="Arial"/>
          <w:bCs/>
          <w:sz w:val="24"/>
        </w:rPr>
      </w:pPr>
      <w:bookmarkStart w:id="6" w:name="_Hlk170381029"/>
      <w:r>
        <w:rPr>
          <w:rFonts w:ascii="宋体" w:eastAsia="宋体" w:hAnsi="宋体" w:cs="Arial" w:hint="eastAsia"/>
          <w:bCs/>
          <w:sz w:val="24"/>
        </w:rPr>
        <w:t>如法律法规或中国证监会变更投资品种的投资比例限制，基金管理人在履行适当程序后，可以调整上述投资品种的投资比例。</w:t>
      </w:r>
      <w:bookmarkEnd w:id="6"/>
    </w:p>
    <w:p w14:paraId="5F0D22BD" w14:textId="77777777" w:rsidR="00691EA2" w:rsidRDefault="00F874ED">
      <w:pPr>
        <w:adjustRightInd w:val="0"/>
        <w:snapToGrid w:val="0"/>
        <w:spacing w:line="400" w:lineRule="exact"/>
        <w:ind w:firstLineChars="200" w:firstLine="480"/>
        <w:rPr>
          <w:rFonts w:ascii="宋体" w:eastAsia="宋体" w:hAnsi="宋体"/>
          <w:sz w:val="24"/>
        </w:rPr>
      </w:pPr>
      <w:bookmarkStart w:id="7" w:name="_Hlk185512167"/>
      <w:bookmarkEnd w:id="5"/>
      <w:r>
        <w:rPr>
          <w:rFonts w:ascii="宋体" w:eastAsia="宋体" w:hAnsi="宋体" w:hint="eastAsia"/>
          <w:sz w:val="24"/>
        </w:rPr>
        <w:t>（二）基金托管人根据有关法律法规的规定及《基金合同》的约定，对基金投资、融资比例进行监督。基金托管人按下述比例和调整期限进行监督：</w:t>
      </w:r>
    </w:p>
    <w:p w14:paraId="15FA950A" w14:textId="77777777" w:rsidR="00691EA2" w:rsidRDefault="00F874ED">
      <w:pPr>
        <w:adjustRightInd w:val="0"/>
        <w:snapToGrid w:val="0"/>
        <w:spacing w:line="400" w:lineRule="exact"/>
        <w:ind w:firstLineChars="300" w:firstLine="720"/>
        <w:rPr>
          <w:rFonts w:ascii="宋体" w:eastAsia="宋体" w:hAnsi="宋体"/>
          <w:bCs/>
          <w:sz w:val="24"/>
        </w:rPr>
      </w:pPr>
      <w:bookmarkStart w:id="8" w:name="_Hlk163670096"/>
      <w:bookmarkStart w:id="9" w:name="OLE_LINK2"/>
      <w:r>
        <w:rPr>
          <w:rFonts w:ascii="宋体" w:eastAsia="宋体" w:hAnsi="宋体"/>
          <w:bCs/>
          <w:sz w:val="24"/>
        </w:rPr>
        <w:t>1</w:t>
      </w:r>
      <w:r>
        <w:rPr>
          <w:rFonts w:ascii="宋体" w:eastAsia="宋体" w:hAnsi="宋体" w:hint="eastAsia"/>
          <w:bCs/>
          <w:sz w:val="24"/>
        </w:rPr>
        <w:t>.本基金投资于股票的资产比例不低于基金资产的</w:t>
      </w:r>
      <w:r>
        <w:rPr>
          <w:rFonts w:ascii="宋体" w:eastAsia="宋体" w:hAnsi="宋体"/>
          <w:bCs/>
          <w:sz w:val="24"/>
        </w:rPr>
        <w:t>80%，投资于中证</w:t>
      </w:r>
      <w:r>
        <w:rPr>
          <w:rFonts w:ascii="宋体" w:eastAsia="宋体" w:hAnsi="宋体" w:hint="eastAsia"/>
          <w:bCs/>
          <w:sz w:val="24"/>
        </w:rPr>
        <w:t>沪港深300</w:t>
      </w:r>
      <w:r>
        <w:rPr>
          <w:rFonts w:ascii="宋体" w:eastAsia="宋体" w:hAnsi="宋体"/>
          <w:bCs/>
          <w:sz w:val="24"/>
        </w:rPr>
        <w:t>指数</w:t>
      </w:r>
      <w:r>
        <w:rPr>
          <w:rFonts w:ascii="宋体" w:eastAsia="宋体" w:hAnsi="宋体" w:hint="eastAsia"/>
          <w:bCs/>
          <w:sz w:val="24"/>
        </w:rPr>
        <w:t>的</w:t>
      </w:r>
      <w:r>
        <w:rPr>
          <w:rFonts w:ascii="宋体" w:eastAsia="宋体" w:hAnsi="宋体"/>
          <w:bCs/>
          <w:sz w:val="24"/>
        </w:rPr>
        <w:t>成份股和备选成份股的资产比例不低于非现金基金资产的80%；</w:t>
      </w:r>
      <w:r>
        <w:rPr>
          <w:rFonts w:ascii="宋体" w:eastAsia="宋体" w:hAnsi="宋体" w:hint="eastAsia"/>
          <w:bCs/>
          <w:sz w:val="24"/>
        </w:rPr>
        <w:t xml:space="preserve"> </w:t>
      </w:r>
    </w:p>
    <w:p w14:paraId="49345515"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2.基金财产参与股票发行申购，本基金所申报的金额不超过本基金的总资</w:t>
      </w:r>
      <w:r>
        <w:rPr>
          <w:rFonts w:ascii="宋体" w:eastAsia="宋体" w:hAnsi="宋体"/>
          <w:bCs/>
          <w:sz w:val="24"/>
        </w:rPr>
        <w:lastRenderedPageBreak/>
        <w:t>产，本基金所申报的股票数量不超过拟发行股票公司本次发行股票的总量；</w:t>
      </w:r>
    </w:p>
    <w:p w14:paraId="77B0E629"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3</w:t>
      </w:r>
      <w:r>
        <w:rPr>
          <w:rFonts w:ascii="宋体" w:eastAsia="宋体" w:hAnsi="宋体" w:hint="eastAsia"/>
          <w:bCs/>
          <w:sz w:val="24"/>
        </w:rPr>
        <w:t>.每个交易日日终，在扣除股指期货合约、国债期货合约和股票期权合约需缴纳的交易保证金后，本基金应当保持现金或者到期日在一年以内的政府债券投资比例合计不低于基金资产净值的</w:t>
      </w:r>
      <w:r>
        <w:rPr>
          <w:rFonts w:ascii="宋体" w:eastAsia="宋体" w:hAnsi="宋体"/>
          <w:bCs/>
          <w:sz w:val="24"/>
        </w:rPr>
        <w:t>5%</w:t>
      </w:r>
      <w:r>
        <w:rPr>
          <w:rFonts w:ascii="宋体" w:eastAsia="宋体" w:hAnsi="宋体" w:hint="eastAsia"/>
          <w:bCs/>
          <w:sz w:val="24"/>
        </w:rPr>
        <w:t>；其中，现金不包括结算备付金、存出保证金、应收申购款等；</w:t>
      </w:r>
    </w:p>
    <w:p w14:paraId="587AA370"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4</w:t>
      </w:r>
      <w:r>
        <w:rPr>
          <w:rFonts w:ascii="宋体" w:eastAsia="宋体" w:hAnsi="宋体" w:hint="eastAsia"/>
          <w:bCs/>
          <w:sz w:val="24"/>
        </w:rPr>
        <w:t>.本基金持有一家公司发行的证券，其市值（同一家公司在境内和香港市场同时上市的</w:t>
      </w:r>
      <w:r>
        <w:rPr>
          <w:rFonts w:ascii="宋体" w:eastAsia="宋体" w:hAnsi="宋体"/>
          <w:bCs/>
          <w:sz w:val="24"/>
        </w:rPr>
        <w:t>A+H股合</w:t>
      </w:r>
      <w:r>
        <w:rPr>
          <w:rFonts w:ascii="宋体" w:eastAsia="宋体" w:hAnsi="宋体" w:hint="eastAsia"/>
          <w:bCs/>
          <w:sz w:val="24"/>
        </w:rPr>
        <w:t>并计算）不超过基金资产净值的</w:t>
      </w:r>
      <w:r>
        <w:rPr>
          <w:rFonts w:ascii="宋体" w:eastAsia="宋体" w:hAnsi="宋体"/>
          <w:bCs/>
          <w:sz w:val="24"/>
        </w:rPr>
        <w:t>10</w:t>
      </w:r>
      <w:r>
        <w:rPr>
          <w:rFonts w:ascii="宋体" w:eastAsia="宋体" w:hAnsi="宋体" w:hint="eastAsia"/>
          <w:bCs/>
          <w:sz w:val="24"/>
        </w:rPr>
        <w:t>％；</w:t>
      </w:r>
    </w:p>
    <w:p w14:paraId="73DCD2EE" w14:textId="54DC8BAC"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5</w:t>
      </w:r>
      <w:r>
        <w:rPr>
          <w:rFonts w:ascii="宋体" w:eastAsia="宋体" w:hAnsi="宋体" w:hint="eastAsia"/>
          <w:bCs/>
          <w:sz w:val="24"/>
        </w:rPr>
        <w:t>.本基金管理人管理的</w:t>
      </w:r>
      <w:r w:rsidR="00147CF4" w:rsidRPr="00147CF4">
        <w:rPr>
          <w:rFonts w:ascii="宋体" w:eastAsia="宋体" w:hAnsi="宋体" w:hint="eastAsia"/>
          <w:bCs/>
          <w:sz w:val="24"/>
        </w:rPr>
        <w:t>且在本基金托管人处托管的</w:t>
      </w:r>
      <w:r>
        <w:rPr>
          <w:rFonts w:ascii="宋体" w:eastAsia="宋体" w:hAnsi="宋体" w:hint="eastAsia"/>
          <w:bCs/>
          <w:sz w:val="24"/>
        </w:rPr>
        <w:t>全部基金持有一家公司发行的证券（同一家公司在境内和香港市场同时上市的</w:t>
      </w:r>
      <w:r>
        <w:rPr>
          <w:rFonts w:ascii="宋体" w:eastAsia="宋体" w:hAnsi="宋体"/>
          <w:bCs/>
          <w:sz w:val="24"/>
        </w:rPr>
        <w:t>A+H股合</w:t>
      </w:r>
      <w:r>
        <w:rPr>
          <w:rFonts w:ascii="宋体" w:eastAsia="宋体" w:hAnsi="宋体" w:hint="eastAsia"/>
          <w:bCs/>
          <w:sz w:val="24"/>
        </w:rPr>
        <w:t>并计算），不超过该证券的</w:t>
      </w:r>
      <w:r>
        <w:rPr>
          <w:rFonts w:ascii="宋体" w:eastAsia="宋体" w:hAnsi="宋体"/>
          <w:bCs/>
          <w:sz w:val="24"/>
        </w:rPr>
        <w:t>10</w:t>
      </w:r>
      <w:r>
        <w:rPr>
          <w:rFonts w:ascii="宋体" w:eastAsia="宋体" w:hAnsi="宋体" w:hint="eastAsia"/>
          <w:bCs/>
          <w:sz w:val="24"/>
        </w:rPr>
        <w:t>％；</w:t>
      </w:r>
    </w:p>
    <w:p w14:paraId="7994ED18"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6.</w:t>
      </w:r>
      <w:r>
        <w:rPr>
          <w:rFonts w:ascii="宋体" w:eastAsia="宋体" w:hAnsi="宋体" w:hint="eastAsia"/>
          <w:bCs/>
          <w:sz w:val="24"/>
        </w:rPr>
        <w:t>本基金投资于同一原始权益人的各类资产支持证券的比例，不得超过基金资产净值的</w:t>
      </w:r>
      <w:r>
        <w:rPr>
          <w:rFonts w:ascii="宋体" w:eastAsia="宋体" w:hAnsi="宋体"/>
          <w:bCs/>
          <w:sz w:val="24"/>
        </w:rPr>
        <w:t>10</w:t>
      </w:r>
      <w:r>
        <w:rPr>
          <w:rFonts w:ascii="宋体" w:eastAsia="宋体" w:hAnsi="宋体" w:hint="eastAsia"/>
          <w:bCs/>
          <w:sz w:val="24"/>
        </w:rPr>
        <w:t>％；</w:t>
      </w:r>
    </w:p>
    <w:p w14:paraId="61589CA4"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7</w:t>
      </w:r>
      <w:r>
        <w:rPr>
          <w:rFonts w:ascii="宋体" w:eastAsia="宋体" w:hAnsi="宋体" w:hint="eastAsia"/>
          <w:bCs/>
          <w:sz w:val="24"/>
        </w:rPr>
        <w:t>.本基金持有的全部资产支持证券，其市值不得超过基金资产净值的</w:t>
      </w:r>
      <w:r>
        <w:rPr>
          <w:rFonts w:ascii="宋体" w:eastAsia="宋体" w:hAnsi="宋体"/>
          <w:bCs/>
          <w:sz w:val="24"/>
        </w:rPr>
        <w:t>20</w:t>
      </w:r>
      <w:r>
        <w:rPr>
          <w:rFonts w:ascii="宋体" w:eastAsia="宋体" w:hAnsi="宋体" w:hint="eastAsia"/>
          <w:bCs/>
          <w:sz w:val="24"/>
        </w:rPr>
        <w:t>％；</w:t>
      </w:r>
    </w:p>
    <w:p w14:paraId="1F7E2136"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8</w:t>
      </w:r>
      <w:r>
        <w:rPr>
          <w:rFonts w:ascii="宋体" w:eastAsia="宋体" w:hAnsi="宋体" w:hint="eastAsia"/>
          <w:bCs/>
          <w:sz w:val="24"/>
        </w:rPr>
        <w:t>.本基金持有的同一</w:t>
      </w:r>
      <w:r>
        <w:rPr>
          <w:rFonts w:ascii="宋体" w:eastAsia="宋体" w:hAnsi="宋体"/>
          <w:bCs/>
          <w:sz w:val="24"/>
        </w:rPr>
        <w:t>(</w:t>
      </w:r>
      <w:r>
        <w:rPr>
          <w:rFonts w:ascii="宋体" w:eastAsia="宋体" w:hAnsi="宋体" w:hint="eastAsia"/>
          <w:bCs/>
          <w:sz w:val="24"/>
        </w:rPr>
        <w:t>指同一信用级别</w:t>
      </w:r>
      <w:r>
        <w:rPr>
          <w:rFonts w:ascii="宋体" w:eastAsia="宋体" w:hAnsi="宋体"/>
          <w:bCs/>
          <w:sz w:val="24"/>
        </w:rPr>
        <w:t>)</w:t>
      </w:r>
      <w:r>
        <w:rPr>
          <w:rFonts w:ascii="宋体" w:eastAsia="宋体" w:hAnsi="宋体" w:hint="eastAsia"/>
          <w:bCs/>
          <w:sz w:val="24"/>
        </w:rPr>
        <w:t>资产支持证券的比例，不得超过该资产支持证券规模的</w:t>
      </w:r>
      <w:r>
        <w:rPr>
          <w:rFonts w:ascii="宋体" w:eastAsia="宋体" w:hAnsi="宋体"/>
          <w:bCs/>
          <w:sz w:val="24"/>
        </w:rPr>
        <w:t>10</w:t>
      </w:r>
      <w:r>
        <w:rPr>
          <w:rFonts w:ascii="宋体" w:eastAsia="宋体" w:hAnsi="宋体" w:hint="eastAsia"/>
          <w:bCs/>
          <w:sz w:val="24"/>
        </w:rPr>
        <w:t>％；</w:t>
      </w:r>
    </w:p>
    <w:p w14:paraId="44CCE218" w14:textId="1CD6595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9</w:t>
      </w:r>
      <w:r>
        <w:rPr>
          <w:rFonts w:ascii="宋体" w:eastAsia="宋体" w:hAnsi="宋体" w:hint="eastAsia"/>
          <w:bCs/>
          <w:sz w:val="24"/>
        </w:rPr>
        <w:t>.本基金管理人管理的</w:t>
      </w:r>
      <w:r w:rsidR="00EC1069" w:rsidRPr="00EC1069">
        <w:rPr>
          <w:rFonts w:ascii="宋体" w:eastAsia="宋体" w:hAnsi="宋体" w:hint="eastAsia"/>
          <w:bCs/>
          <w:sz w:val="24"/>
        </w:rPr>
        <w:t>且在本基金托管人处托管的</w:t>
      </w:r>
      <w:r>
        <w:rPr>
          <w:rFonts w:ascii="宋体" w:eastAsia="宋体" w:hAnsi="宋体" w:hint="eastAsia"/>
          <w:bCs/>
          <w:sz w:val="24"/>
        </w:rPr>
        <w:t>全部基金投资于同一原始权益人的各类资产支持证券，不得超过其各类资产支持证券合计规模的</w:t>
      </w:r>
      <w:r>
        <w:rPr>
          <w:rFonts w:ascii="宋体" w:eastAsia="宋体" w:hAnsi="宋体"/>
          <w:bCs/>
          <w:sz w:val="24"/>
        </w:rPr>
        <w:t>10</w:t>
      </w:r>
      <w:r>
        <w:rPr>
          <w:rFonts w:ascii="宋体" w:eastAsia="宋体" w:hAnsi="宋体" w:hint="eastAsia"/>
          <w:bCs/>
          <w:sz w:val="24"/>
        </w:rPr>
        <w:t>％；</w:t>
      </w:r>
    </w:p>
    <w:p w14:paraId="030A8585"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10</w:t>
      </w:r>
      <w:r>
        <w:rPr>
          <w:rFonts w:ascii="宋体" w:eastAsia="宋体" w:hAnsi="宋体" w:hint="eastAsia"/>
          <w:bCs/>
          <w:sz w:val="24"/>
        </w:rPr>
        <w:t>.本基金应投资于信用级别评级为</w:t>
      </w:r>
      <w:r>
        <w:rPr>
          <w:rFonts w:ascii="宋体" w:eastAsia="宋体" w:hAnsi="宋体"/>
          <w:bCs/>
          <w:sz w:val="24"/>
        </w:rPr>
        <w:t>BBB</w:t>
      </w:r>
      <w:r>
        <w:rPr>
          <w:rFonts w:ascii="宋体" w:eastAsia="宋体" w:hAnsi="宋体" w:hint="eastAsia"/>
          <w:bCs/>
          <w:sz w:val="24"/>
        </w:rPr>
        <w:t>以上</w:t>
      </w:r>
      <w:r>
        <w:rPr>
          <w:rFonts w:ascii="宋体" w:eastAsia="宋体" w:hAnsi="宋体"/>
          <w:bCs/>
          <w:sz w:val="24"/>
        </w:rPr>
        <w:t>(</w:t>
      </w:r>
      <w:r>
        <w:rPr>
          <w:rFonts w:ascii="宋体" w:eastAsia="宋体" w:hAnsi="宋体" w:hint="eastAsia"/>
          <w:bCs/>
          <w:sz w:val="24"/>
        </w:rPr>
        <w:t>含</w:t>
      </w:r>
      <w:r>
        <w:rPr>
          <w:rFonts w:ascii="宋体" w:eastAsia="宋体" w:hAnsi="宋体"/>
          <w:bCs/>
          <w:sz w:val="24"/>
        </w:rPr>
        <w:t>BBB)</w:t>
      </w:r>
      <w:r>
        <w:rPr>
          <w:rFonts w:ascii="宋体" w:eastAsia="宋体" w:hAnsi="宋体" w:hint="eastAsia"/>
          <w:bCs/>
          <w:sz w:val="24"/>
        </w:rPr>
        <w:t>的资产支持证券。基金持有资产支持证券期间，如果其信用等级下降、不再符合投资标准，应在评级报告发布之日起</w:t>
      </w:r>
      <w:r>
        <w:rPr>
          <w:rFonts w:ascii="宋体" w:eastAsia="宋体" w:hAnsi="宋体"/>
          <w:bCs/>
          <w:sz w:val="24"/>
        </w:rPr>
        <w:t>3</w:t>
      </w:r>
      <w:r>
        <w:rPr>
          <w:rFonts w:ascii="宋体" w:eastAsia="宋体" w:hAnsi="宋体" w:hint="eastAsia"/>
          <w:bCs/>
          <w:sz w:val="24"/>
        </w:rPr>
        <w:t>个月内予以全部卖出；</w:t>
      </w:r>
    </w:p>
    <w:p w14:paraId="45B0E7C7"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11</w:t>
      </w:r>
      <w:r>
        <w:rPr>
          <w:rFonts w:ascii="宋体" w:eastAsia="宋体" w:hAnsi="宋体" w:hint="eastAsia"/>
          <w:bCs/>
          <w:sz w:val="24"/>
        </w:rPr>
        <w:t>.本基金总资产不得超过基金净资产的</w:t>
      </w:r>
      <w:r>
        <w:rPr>
          <w:rFonts w:ascii="宋体" w:eastAsia="宋体" w:hAnsi="宋体"/>
          <w:bCs/>
          <w:sz w:val="24"/>
        </w:rPr>
        <w:t>140%；</w:t>
      </w:r>
    </w:p>
    <w:p w14:paraId="2EB89A6F"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12</w:t>
      </w:r>
      <w:r>
        <w:rPr>
          <w:rFonts w:ascii="宋体" w:eastAsia="宋体" w:hAnsi="宋体" w:hint="eastAsia"/>
          <w:bCs/>
          <w:sz w:val="24"/>
        </w:rPr>
        <w:t>.</w:t>
      </w:r>
      <w:r>
        <w:rPr>
          <w:rFonts w:ascii="宋体" w:eastAsia="宋体" w:hAnsi="宋体"/>
          <w:bCs/>
          <w:sz w:val="24"/>
        </w:rPr>
        <w:t>本基金参与国债期货、股指期货</w:t>
      </w:r>
      <w:r>
        <w:rPr>
          <w:rFonts w:ascii="宋体" w:eastAsia="宋体" w:hAnsi="宋体" w:hint="eastAsia"/>
          <w:bCs/>
          <w:sz w:val="24"/>
        </w:rPr>
        <w:t>、股票期权</w:t>
      </w:r>
      <w:r>
        <w:rPr>
          <w:rFonts w:ascii="宋体" w:eastAsia="宋体" w:hAnsi="宋体"/>
          <w:bCs/>
          <w:sz w:val="24"/>
        </w:rPr>
        <w:t>交易，需遵守下列投资比例限制：</w:t>
      </w:r>
    </w:p>
    <w:p w14:paraId="7B095655"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（1）</w:t>
      </w:r>
      <w:r>
        <w:rPr>
          <w:rFonts w:ascii="宋体" w:eastAsia="宋体" w:hAnsi="宋体"/>
          <w:bCs/>
          <w:sz w:val="24"/>
        </w:rPr>
        <w:t>本基金在任何交易日日终，持有的买入股指期货合约价值，不得超过基金资产净值的10%；本基金在任何交易日日终，持有的买入国债期货合约价值，不得超过基金资产净值的15%；</w:t>
      </w:r>
    </w:p>
    <w:p w14:paraId="3041FC0E"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2）</w:t>
      </w:r>
      <w:r>
        <w:rPr>
          <w:rFonts w:ascii="宋体" w:eastAsia="宋体" w:hAnsi="宋体" w:hint="eastAsia"/>
          <w:bCs/>
          <w:sz w:val="24"/>
        </w:rPr>
        <w:t>本基金在任何交易日日终，持有的买入国债期货和股指期货合约价值和有价证券市值之和，不得超过基金资产净值的</w:t>
      </w:r>
      <w:r>
        <w:rPr>
          <w:rFonts w:ascii="宋体" w:eastAsia="宋体" w:hAnsi="宋体"/>
          <w:bCs/>
          <w:sz w:val="24"/>
        </w:rPr>
        <w:t>95%；其中，有价证券指股票、债券（不含到期日在一年以内的政府债券）、资产支持证券、买入返售金融资产（不含质押式回购）等；</w:t>
      </w:r>
    </w:p>
    <w:p w14:paraId="6E6F849E"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3）本基金在任何交易日日终，持有的卖出股指期货合约价值不得超过基金持有的股票总市值的20%；本基金在任何交易日日终，持有的卖出国债期货合约价值不得超过基金持有的债券总市值的30%；</w:t>
      </w:r>
    </w:p>
    <w:p w14:paraId="473F91F1" w14:textId="050CE4DC"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4）本基金所持有的股票市值和买入、卖出股指期货合约价值，合计（轧差计算）应当符合基金合同关于股票投资比例的有关约定；</w:t>
      </w:r>
      <w:r w:rsidR="00EC1069" w:rsidDel="00EC1069">
        <w:rPr>
          <w:rFonts w:ascii="宋体" w:eastAsia="宋体" w:hAnsi="宋体"/>
          <w:bCs/>
          <w:sz w:val="24"/>
        </w:rPr>
        <w:t xml:space="preserve"> </w:t>
      </w:r>
    </w:p>
    <w:p w14:paraId="6CCE9DCB"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lastRenderedPageBreak/>
        <w:t>（</w:t>
      </w:r>
      <w:r>
        <w:rPr>
          <w:rFonts w:ascii="宋体" w:eastAsia="宋体" w:hAnsi="宋体"/>
          <w:bCs/>
          <w:sz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4D886D61" w14:textId="5AB478F4"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6）本基金因未平仓的股票期权合约支付和收取的权利金总额不得超过基金资产净值的10%；未平仓的股票期权合约面值不得超过基金资产净值的20%。其中，合约面值按照行权价乘以合约乘数计算；</w:t>
      </w:r>
    </w:p>
    <w:p w14:paraId="05D90D2A"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13</w:t>
      </w:r>
      <w:r>
        <w:rPr>
          <w:rFonts w:ascii="宋体" w:eastAsia="宋体" w:hAnsi="宋体" w:hint="eastAsia"/>
          <w:bCs/>
          <w:sz w:val="24"/>
        </w:rPr>
        <w:t>．</w:t>
      </w:r>
      <w:r>
        <w:rPr>
          <w:rFonts w:ascii="宋体" w:eastAsia="宋体" w:hAnsi="宋体"/>
          <w:bCs/>
          <w:sz w:val="24"/>
        </w:rPr>
        <w:t>本基金参与融资</w:t>
      </w:r>
      <w:r>
        <w:rPr>
          <w:rFonts w:ascii="宋体" w:eastAsia="宋体" w:hAnsi="宋体" w:hint="eastAsia"/>
          <w:bCs/>
          <w:sz w:val="24"/>
        </w:rPr>
        <w:t>业务</w:t>
      </w:r>
      <w:r>
        <w:rPr>
          <w:rFonts w:ascii="宋体" w:eastAsia="宋体" w:hAnsi="宋体"/>
          <w:bCs/>
          <w:sz w:val="24"/>
        </w:rPr>
        <w:t>的，每个交易日日终，本基金持有的融资买入股票与其他有价证券市值之和，不得超过基金资产净值的95%；</w:t>
      </w:r>
    </w:p>
    <w:p w14:paraId="72DABF73" w14:textId="66A9B534"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14</w:t>
      </w:r>
      <w:r>
        <w:rPr>
          <w:rFonts w:ascii="宋体" w:eastAsia="宋体" w:hAnsi="宋体" w:hint="eastAsia"/>
          <w:bCs/>
          <w:sz w:val="24"/>
        </w:rPr>
        <w:t>．本基金管理人管理的</w:t>
      </w:r>
      <w:r w:rsidR="00EC1069" w:rsidRPr="00EC1069">
        <w:rPr>
          <w:rFonts w:ascii="宋体" w:eastAsia="宋体" w:hAnsi="宋体" w:hint="eastAsia"/>
          <w:bCs/>
          <w:sz w:val="24"/>
        </w:rPr>
        <w:t>且在本基金托管人处托管的</w:t>
      </w:r>
      <w:r>
        <w:rPr>
          <w:rFonts w:ascii="宋体" w:eastAsia="宋体" w:hAnsi="宋体" w:hint="eastAsia"/>
          <w:bCs/>
          <w:sz w:val="24"/>
        </w:rPr>
        <w:t>全部开放式基金</w:t>
      </w:r>
      <w:r>
        <w:rPr>
          <w:rFonts w:ascii="宋体" w:eastAsia="宋体" w:hAnsi="宋体"/>
          <w:bCs/>
          <w:sz w:val="24"/>
        </w:rPr>
        <w:t>(</w:t>
      </w:r>
      <w:r>
        <w:rPr>
          <w:rFonts w:ascii="宋体" w:eastAsia="宋体" w:hAnsi="宋体" w:hint="eastAsia"/>
          <w:bCs/>
          <w:sz w:val="24"/>
        </w:rPr>
        <w:t>包括开放式基金以及处于开放期的定期开放基金</w:t>
      </w:r>
      <w:r>
        <w:rPr>
          <w:rFonts w:ascii="宋体" w:eastAsia="宋体" w:hAnsi="宋体"/>
          <w:bCs/>
          <w:sz w:val="24"/>
        </w:rPr>
        <w:t>)</w:t>
      </w:r>
      <w:r>
        <w:rPr>
          <w:rFonts w:ascii="宋体" w:eastAsia="宋体" w:hAnsi="宋体" w:hint="eastAsia"/>
          <w:bCs/>
          <w:sz w:val="24"/>
        </w:rPr>
        <w:t>持有一家上市公司发行的可流通股票，不得超过该上市公司可流通股票的</w:t>
      </w:r>
      <w:r>
        <w:rPr>
          <w:rFonts w:ascii="宋体" w:eastAsia="宋体" w:hAnsi="宋体"/>
          <w:bCs/>
          <w:sz w:val="24"/>
        </w:rPr>
        <w:t>15%</w:t>
      </w:r>
      <w:r>
        <w:rPr>
          <w:rFonts w:ascii="宋体" w:eastAsia="宋体" w:hAnsi="宋体" w:hint="eastAsia"/>
          <w:bCs/>
          <w:sz w:val="24"/>
        </w:rPr>
        <w:t>；本基金管理人管理的</w:t>
      </w:r>
      <w:r w:rsidR="00EC1069" w:rsidRPr="00EC1069">
        <w:rPr>
          <w:rFonts w:ascii="宋体" w:eastAsia="宋体" w:hAnsi="宋体" w:hint="eastAsia"/>
          <w:bCs/>
          <w:sz w:val="24"/>
        </w:rPr>
        <w:t>且在本基金托管人处托管的</w:t>
      </w:r>
      <w:r>
        <w:rPr>
          <w:rFonts w:ascii="宋体" w:eastAsia="宋体" w:hAnsi="宋体" w:hint="eastAsia"/>
          <w:bCs/>
          <w:sz w:val="24"/>
        </w:rPr>
        <w:t>全部投资组合持有一家上市公司发行的可流通股票，不得超过该上市公司可流通股票的</w:t>
      </w:r>
      <w:r>
        <w:rPr>
          <w:rFonts w:ascii="宋体" w:eastAsia="宋体" w:hAnsi="宋体"/>
          <w:bCs/>
          <w:sz w:val="24"/>
        </w:rPr>
        <w:t>30%</w:t>
      </w:r>
      <w:r>
        <w:rPr>
          <w:rFonts w:ascii="宋体" w:eastAsia="宋体" w:hAnsi="宋体" w:hint="eastAsia"/>
          <w:bCs/>
          <w:sz w:val="24"/>
        </w:rPr>
        <w:t>；但完全按照指数的构成比例进行投资的部分不受此限制；</w:t>
      </w:r>
    </w:p>
    <w:p w14:paraId="1CCD364D" w14:textId="0EFE547C"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w:t>
      </w:r>
      <w:r w:rsidR="00EC1069">
        <w:rPr>
          <w:rFonts w:ascii="宋体" w:eastAsia="宋体" w:hAnsi="宋体" w:hint="eastAsia"/>
          <w:bCs/>
          <w:sz w:val="24"/>
        </w:rPr>
        <w:t>5</w:t>
      </w:r>
      <w:r>
        <w:rPr>
          <w:rFonts w:ascii="宋体" w:eastAsia="宋体" w:hAnsi="宋体" w:hint="eastAsia"/>
          <w:bCs/>
          <w:sz w:val="24"/>
        </w:rPr>
        <w:t>．本基金主动投资于流动性受限资产的市值合计不得超过基金资产净值的</w:t>
      </w:r>
      <w:r>
        <w:rPr>
          <w:rFonts w:ascii="宋体" w:eastAsia="宋体" w:hAnsi="宋体"/>
          <w:bCs/>
          <w:sz w:val="24"/>
        </w:rPr>
        <w:t>15%</w:t>
      </w:r>
      <w:r>
        <w:rPr>
          <w:rFonts w:ascii="宋体" w:eastAsia="宋体" w:hAnsi="宋体" w:hint="eastAsia"/>
          <w:bCs/>
          <w:sz w:val="24"/>
        </w:rPr>
        <w:t>。因证券</w:t>
      </w:r>
      <w:r>
        <w:rPr>
          <w:rFonts w:ascii="宋体" w:eastAsia="宋体" w:hAnsi="宋体"/>
          <w:bCs/>
          <w:sz w:val="24"/>
        </w:rPr>
        <w:t>/期货</w:t>
      </w:r>
      <w:r>
        <w:rPr>
          <w:rFonts w:ascii="宋体" w:eastAsia="宋体" w:hAnsi="宋体" w:hint="eastAsia"/>
          <w:bCs/>
          <w:sz w:val="24"/>
        </w:rPr>
        <w:t>市场波动、上市公司股票停牌、基金规模变动等基金管理人之外的因素致使基金不符合本条规定比例限制的，基金管理人不得主动新增流动性受限资产的投资；</w:t>
      </w:r>
    </w:p>
    <w:p w14:paraId="07A8D708" w14:textId="4DFBCBEC"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w:t>
      </w:r>
      <w:r w:rsidR="00EC1069">
        <w:rPr>
          <w:rFonts w:ascii="宋体" w:eastAsia="宋体" w:hAnsi="宋体" w:hint="eastAsia"/>
          <w:bCs/>
          <w:sz w:val="24"/>
        </w:rPr>
        <w:t>6</w:t>
      </w:r>
      <w:r>
        <w:rPr>
          <w:rFonts w:ascii="宋体" w:eastAsia="宋体" w:hAnsi="宋体" w:hint="eastAsia"/>
          <w:bCs/>
          <w:sz w:val="24"/>
        </w:rPr>
        <w:t>．</w:t>
      </w:r>
      <w:r>
        <w:rPr>
          <w:rFonts w:ascii="宋体" w:eastAsia="宋体" w:hAnsi="宋体"/>
          <w:bCs/>
          <w:sz w:val="24"/>
        </w:rPr>
        <w:t>本基金参与转融通证券出借业务的，须符合以下限制：</w:t>
      </w:r>
    </w:p>
    <w:p w14:paraId="734E0414"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1）在任何交易日日终，参与转融通证券出借业务的资产不得超过基金资产净值的30%，其中出借期限在10个交易日以上的出借证券应纳入《流动性风险管理规定》所述流动性受限证券的范围；</w:t>
      </w:r>
    </w:p>
    <w:p w14:paraId="12FF599F"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2）在任何交易日日终，参与出借业务的单只证券不得超过基金持有该证券总量的50%；</w:t>
      </w:r>
    </w:p>
    <w:p w14:paraId="691DE108"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3）证券出借的平均剩余期限不得超过30天，平均剩余期限按市值加权平均计算；</w:t>
      </w:r>
    </w:p>
    <w:p w14:paraId="3A4ED98E"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w:t>
      </w:r>
      <w:r>
        <w:rPr>
          <w:rFonts w:ascii="宋体" w:eastAsia="宋体" w:hAnsi="宋体"/>
          <w:bCs/>
          <w:sz w:val="24"/>
        </w:rPr>
        <w:t>4）最近6个月内日均基金资产净值不得低于2亿元；</w:t>
      </w:r>
    </w:p>
    <w:p w14:paraId="7DFCFAC4"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1</w:t>
      </w:r>
      <w:r>
        <w:rPr>
          <w:rFonts w:ascii="宋体" w:eastAsia="宋体" w:hAnsi="宋体"/>
          <w:bCs/>
          <w:sz w:val="24"/>
        </w:rPr>
        <w:t>8</w:t>
      </w:r>
      <w:r>
        <w:rPr>
          <w:rFonts w:ascii="宋体" w:eastAsia="宋体" w:hAnsi="宋体" w:hint="eastAsia"/>
          <w:bCs/>
          <w:sz w:val="24"/>
        </w:rPr>
        <w:t>．本基金投资存托凭证的比例限制依照境内上市交易的股票进行，与境内上市交易的股票合并计算；</w:t>
      </w:r>
    </w:p>
    <w:p w14:paraId="6D2D3DC4" w14:textId="77777777"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bCs/>
          <w:sz w:val="24"/>
        </w:rPr>
        <w:t>19</w:t>
      </w:r>
      <w:r>
        <w:rPr>
          <w:rFonts w:ascii="宋体" w:eastAsia="宋体" w:hAnsi="宋体" w:hint="eastAsia"/>
          <w:bCs/>
          <w:sz w:val="24"/>
        </w:rPr>
        <w:t>．法律法规及中国证监会规定的和基金合同约定的其他投资限制。</w:t>
      </w:r>
    </w:p>
    <w:p w14:paraId="7BA77F1C" w14:textId="48E97725" w:rsidR="00691EA2" w:rsidRDefault="00F874ED">
      <w:pPr>
        <w:adjustRightInd w:val="0"/>
        <w:snapToGrid w:val="0"/>
        <w:spacing w:line="400" w:lineRule="exact"/>
        <w:ind w:firstLineChars="300" w:firstLine="720"/>
        <w:rPr>
          <w:rFonts w:ascii="宋体" w:eastAsia="宋体" w:hAnsi="宋体"/>
          <w:bCs/>
          <w:sz w:val="24"/>
        </w:rPr>
      </w:pPr>
      <w:r>
        <w:rPr>
          <w:rFonts w:ascii="宋体" w:eastAsia="宋体" w:hAnsi="宋体" w:hint="eastAsia"/>
          <w:bCs/>
          <w:sz w:val="24"/>
        </w:rPr>
        <w:t>除上述第</w:t>
      </w:r>
      <w:r>
        <w:rPr>
          <w:rFonts w:ascii="宋体" w:eastAsia="宋体" w:hAnsi="宋体"/>
          <w:bCs/>
          <w:sz w:val="24"/>
        </w:rPr>
        <w:t>3、10、</w:t>
      </w:r>
      <w:r>
        <w:rPr>
          <w:rFonts w:ascii="宋体" w:eastAsia="宋体" w:hAnsi="宋体" w:hint="eastAsia"/>
          <w:bCs/>
          <w:sz w:val="24"/>
        </w:rPr>
        <w:t>1</w:t>
      </w:r>
      <w:r w:rsidR="00EC1069">
        <w:rPr>
          <w:rFonts w:ascii="宋体" w:eastAsia="宋体" w:hAnsi="宋体" w:hint="eastAsia"/>
          <w:bCs/>
          <w:sz w:val="24"/>
        </w:rPr>
        <w:t>5</w:t>
      </w:r>
      <w:r>
        <w:rPr>
          <w:rFonts w:ascii="宋体" w:eastAsia="宋体" w:hAnsi="宋体" w:hint="eastAsia"/>
          <w:bCs/>
          <w:sz w:val="24"/>
        </w:rPr>
        <w:t>、1</w:t>
      </w:r>
      <w:r w:rsidR="00EC1069">
        <w:rPr>
          <w:rFonts w:ascii="宋体" w:eastAsia="宋体" w:hAnsi="宋体" w:hint="eastAsia"/>
          <w:bCs/>
          <w:sz w:val="24"/>
        </w:rPr>
        <w:t>6</w:t>
      </w:r>
      <w:r>
        <w:rPr>
          <w:rFonts w:ascii="宋体" w:eastAsia="宋体" w:hAnsi="宋体"/>
          <w:bCs/>
          <w:sz w:val="24"/>
        </w:rPr>
        <w:t>项外</w:t>
      </w:r>
      <w:r>
        <w:rPr>
          <w:rFonts w:ascii="宋体" w:eastAsia="宋体" w:hAnsi="宋体" w:hint="eastAsia"/>
          <w:bCs/>
          <w:sz w:val="24"/>
        </w:rPr>
        <w:t>，</w:t>
      </w:r>
      <w:r>
        <w:rPr>
          <w:rFonts w:ascii="宋体" w:eastAsia="宋体" w:hAnsi="宋体"/>
          <w:bCs/>
          <w:sz w:val="24"/>
        </w:rPr>
        <w:t>因证券</w:t>
      </w:r>
      <w:r>
        <w:rPr>
          <w:rFonts w:ascii="宋体" w:eastAsia="宋体" w:hAnsi="宋体" w:hint="eastAsia"/>
          <w:bCs/>
          <w:sz w:val="24"/>
        </w:rPr>
        <w:t>、期货</w:t>
      </w:r>
      <w:r>
        <w:rPr>
          <w:rFonts w:ascii="宋体" w:eastAsia="宋体" w:hAnsi="宋体"/>
          <w:bCs/>
          <w:sz w:val="24"/>
        </w:rPr>
        <w:t>市场波动、</w:t>
      </w:r>
      <w:r>
        <w:rPr>
          <w:rFonts w:ascii="宋体" w:eastAsia="宋体" w:hAnsi="宋体" w:hint="eastAsia"/>
          <w:bCs/>
          <w:sz w:val="24"/>
        </w:rPr>
        <w:t>证券发行人</w:t>
      </w:r>
      <w:r>
        <w:rPr>
          <w:rFonts w:ascii="宋体" w:eastAsia="宋体" w:hAnsi="宋体"/>
          <w:bCs/>
          <w:sz w:val="24"/>
        </w:rPr>
        <w:t>合并、基金规模变动等基金管理人之外的因素致使基金投资比例不符合上述规定投资比例的，基金管理人应当在10个交易日内进行调整</w:t>
      </w:r>
      <w:r>
        <w:rPr>
          <w:rFonts w:ascii="宋体" w:eastAsia="宋体" w:hAnsi="宋体" w:hint="eastAsia"/>
          <w:bCs/>
          <w:sz w:val="24"/>
        </w:rPr>
        <w:t>，但中国证监会规定的特殊情形除外。法律法规另有规定的，从其规定。</w:t>
      </w:r>
    </w:p>
    <w:p w14:paraId="63C45F90" w14:textId="77777777" w:rsidR="00691EA2" w:rsidRDefault="00F874ED">
      <w:pPr>
        <w:spacing w:line="360" w:lineRule="auto"/>
        <w:ind w:firstLineChars="200" w:firstLine="480"/>
        <w:rPr>
          <w:rFonts w:ascii="宋体" w:eastAsia="宋体" w:hAnsi="宋体"/>
          <w:sz w:val="24"/>
        </w:rPr>
      </w:pPr>
      <w:r>
        <w:rPr>
          <w:rFonts w:ascii="宋体" w:eastAsia="宋体" w:hAnsi="宋体" w:hint="eastAsia"/>
          <w:sz w:val="24"/>
        </w:rPr>
        <w:t>本基金参与转融通证券出借业务的，因证券</w:t>
      </w:r>
      <w:r>
        <w:rPr>
          <w:rFonts w:ascii="宋体" w:eastAsia="宋体" w:hAnsi="宋体"/>
          <w:sz w:val="24"/>
        </w:rPr>
        <w:t>/期货市场波动、证券发行人合并、</w:t>
      </w:r>
      <w:r>
        <w:rPr>
          <w:rFonts w:ascii="宋体" w:eastAsia="宋体" w:hAnsi="宋体"/>
          <w:sz w:val="24"/>
        </w:rPr>
        <w:lastRenderedPageBreak/>
        <w:t>基金规模变动等基金管理人之外的因素致使基金投资不符合上述第17项规定，基金管理人不得新增出借业务。</w:t>
      </w:r>
    </w:p>
    <w:p w14:paraId="7F930408"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基金管理人应当自基金合同生效之日起6个月内使基金的投资组合比例符合基金合同的有关约定。</w:t>
      </w:r>
      <w:r>
        <w:rPr>
          <w:rFonts w:ascii="宋体" w:eastAsia="宋体" w:hAnsi="宋体" w:hint="eastAsia"/>
          <w:sz w:val="24"/>
        </w:rPr>
        <w:t>在上述期间内，本基金的投资范围、投资策略应当符合基金合同的约定。</w:t>
      </w:r>
      <w:r>
        <w:rPr>
          <w:rFonts w:ascii="宋体" w:eastAsia="宋体" w:hAnsi="宋体"/>
          <w:sz w:val="24"/>
        </w:rPr>
        <w:t>基金托管人对基金的投资的监督与检查自基金合同生效之日起开始。</w:t>
      </w:r>
    </w:p>
    <w:p w14:paraId="460E9640"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法律法规或监管部门取消</w:t>
      </w:r>
      <w:r>
        <w:rPr>
          <w:rFonts w:ascii="宋体" w:eastAsia="宋体" w:hAnsi="宋体" w:cs="Times New Roman" w:hint="eastAsia"/>
          <w:bCs/>
          <w:sz w:val="24"/>
          <w:szCs w:val="20"/>
        </w:rPr>
        <w:t>或调整</w:t>
      </w:r>
      <w:r>
        <w:rPr>
          <w:rFonts w:ascii="宋体" w:eastAsia="宋体" w:hAnsi="宋体"/>
          <w:sz w:val="24"/>
        </w:rPr>
        <w:t>上述限制，如适用于本基金，基金管理人</w:t>
      </w:r>
      <w:r>
        <w:rPr>
          <w:rFonts w:ascii="宋体" w:eastAsia="宋体" w:hAnsi="宋体" w:hint="eastAsia"/>
          <w:sz w:val="24"/>
        </w:rPr>
        <w:t>在</w:t>
      </w:r>
      <w:r>
        <w:rPr>
          <w:rFonts w:ascii="宋体" w:eastAsia="宋体" w:hAnsi="宋体"/>
          <w:sz w:val="24"/>
        </w:rPr>
        <w:t>履行适当程序后，则本基金投资不再受相关限制</w:t>
      </w:r>
      <w:r>
        <w:rPr>
          <w:rFonts w:ascii="宋体" w:eastAsia="宋体" w:hAnsi="宋体" w:hint="eastAsia"/>
          <w:bCs/>
          <w:sz w:val="24"/>
        </w:rPr>
        <w:t>或按调整后的规定执行，但须提前公告</w:t>
      </w:r>
      <w:r>
        <w:rPr>
          <w:rFonts w:ascii="宋体" w:eastAsia="宋体" w:hAnsi="宋体"/>
          <w:sz w:val="24"/>
        </w:rPr>
        <w:t>。</w:t>
      </w:r>
    </w:p>
    <w:bookmarkEnd w:id="7"/>
    <w:bookmarkEnd w:id="8"/>
    <w:bookmarkEnd w:id="9"/>
    <w:p w14:paraId="38A6EC1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（三）基金托管人</w:t>
      </w:r>
      <w:bookmarkStart w:id="10" w:name="OLE_LINK1"/>
      <w:r>
        <w:rPr>
          <w:rFonts w:ascii="宋体" w:eastAsia="宋体" w:hAnsi="宋体" w:cs="Arial" w:hint="eastAsia"/>
          <w:sz w:val="24"/>
        </w:rPr>
        <w:t>根据有关法律法规的规定及《基金合同》的约定，</w:t>
      </w:r>
      <w:bookmarkEnd w:id="10"/>
      <w:r>
        <w:rPr>
          <w:rFonts w:ascii="宋体" w:eastAsia="宋体" w:hAnsi="宋体" w:cs="Arial" w:hint="eastAsia"/>
          <w:sz w:val="24"/>
        </w:rPr>
        <w:t>对本托管协议第十五条第九款基金投资禁止行为通过事后监督方式进行监督。</w:t>
      </w:r>
    </w:p>
    <w:p w14:paraId="76BC1C33" w14:textId="77777777" w:rsidR="00691EA2" w:rsidRDefault="00F874ED">
      <w:pPr>
        <w:adjustRightInd w:val="0"/>
        <w:snapToGrid w:val="0"/>
        <w:spacing w:line="400" w:lineRule="exact"/>
        <w:ind w:firstLineChars="200" w:firstLine="480"/>
        <w:rPr>
          <w:rFonts w:ascii="宋体" w:eastAsia="宋体" w:hAnsi="宋体" w:cs="Arial"/>
          <w:sz w:val="24"/>
        </w:rPr>
      </w:pPr>
      <w:bookmarkStart w:id="11" w:name="_Hlk163670222"/>
      <w:r>
        <w:rPr>
          <w:rFonts w:ascii="宋体" w:eastAsia="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11"/>
    <w:p w14:paraId="2992B54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（四）基金托管人根据有关法律法规的规定及《基金合同》的约定，对基金管理人投资流通受限证券进行监督。</w:t>
      </w:r>
    </w:p>
    <w:p w14:paraId="7C42570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1810FA9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E6A26E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29645B8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w:t>
      </w:r>
      <w:r>
        <w:rPr>
          <w:rFonts w:ascii="宋体" w:eastAsia="宋体" w:hAnsi="宋体" w:cs="Arial" w:hint="eastAsia"/>
          <w:sz w:val="24"/>
        </w:rPr>
        <w:lastRenderedPageBreak/>
        <w:t>任与损失，及因流通受限证券存管直接影响本基金安全的责任及损失，由基金管理人承担。</w:t>
      </w:r>
    </w:p>
    <w:p w14:paraId="0A17B5B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本基金投资流通受限证券，不得预付任何形式的保证金，若法规有新规定的按照新的规定执行。</w:t>
      </w:r>
    </w:p>
    <w:p w14:paraId="4AA3E4E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C90880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FBFF4F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224D7C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Pr>
          <w:rFonts w:ascii="宋体" w:eastAsia="宋体" w:hAnsi="宋体" w:cs="Arial"/>
          <w:sz w:val="24"/>
        </w:rPr>
        <w:t>1）中国证监会批准发行非公开发行股票的批准文件。</w:t>
      </w:r>
    </w:p>
    <w:p w14:paraId="7A76F4C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Pr>
          <w:rFonts w:ascii="宋体" w:eastAsia="宋体" w:hAnsi="宋体" w:cs="Arial"/>
          <w:sz w:val="24"/>
        </w:rPr>
        <w:t>2）非公开发行股票有关发行数量、发行价格、锁定期等发行资料。</w:t>
      </w:r>
    </w:p>
    <w:p w14:paraId="4098C644" w14:textId="7FA64650"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Pr>
          <w:rFonts w:ascii="宋体" w:eastAsia="宋体" w:hAnsi="宋体" w:cs="Arial"/>
          <w:sz w:val="24"/>
        </w:rPr>
        <w:t>3）基金拟认购的数量、价格、总成本、账面价值。</w:t>
      </w:r>
    </w:p>
    <w:p w14:paraId="3FFAE80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7A55A9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本基金有关投资流通受限证券比例如违反有关限制规定，在合理期限内未能进行及时调整，基金管理人应在两个工作日内编制临时报告书，予以公告。</w:t>
      </w:r>
    </w:p>
    <w:p w14:paraId="3D92511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5</w:t>
      </w:r>
      <w:r>
        <w:rPr>
          <w:rFonts w:ascii="宋体" w:eastAsia="宋体" w:hAnsi="宋体" w:cs="Arial" w:hint="eastAsia"/>
          <w:sz w:val="24"/>
        </w:rPr>
        <w:t>.相关法律法规对基金投资流通受限证券有新规定的，从其规定。</w:t>
      </w:r>
    </w:p>
    <w:p w14:paraId="313CC1B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五）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02E0100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Pr>
          <w:rFonts w:ascii="宋体" w:eastAsia="宋体" w:hAnsi="宋体" w:cs="Arial" w:hint="eastAsia"/>
          <w:sz w:val="24"/>
        </w:rPr>
        <w:lastRenderedPageBreak/>
        <w:t>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8D2A24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3A81BD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14:paraId="1340F1BB" w14:textId="5C0297E6"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D8658B1" w14:textId="77777777" w:rsidR="00691EA2" w:rsidRDefault="00F874ED">
      <w:pPr>
        <w:widowControl/>
        <w:jc w:val="left"/>
        <w:rPr>
          <w:rFonts w:ascii="宋体" w:eastAsia="宋体" w:hAnsi="宋体"/>
          <w:sz w:val="24"/>
        </w:rPr>
      </w:pPr>
      <w:r>
        <w:rPr>
          <w:rFonts w:ascii="宋体" w:eastAsia="宋体" w:hAnsi="宋体"/>
          <w:sz w:val="24"/>
        </w:rPr>
        <w:br w:type="page"/>
      </w:r>
    </w:p>
    <w:p w14:paraId="66055C42" w14:textId="77777777" w:rsidR="00691EA2" w:rsidRDefault="00691EA2">
      <w:pPr>
        <w:spacing w:line="400" w:lineRule="exact"/>
        <w:rPr>
          <w:rFonts w:ascii="宋体" w:eastAsia="宋体" w:hAnsi="宋体"/>
          <w:sz w:val="24"/>
        </w:rPr>
      </w:pPr>
    </w:p>
    <w:p w14:paraId="76B147A2" w14:textId="77777777" w:rsidR="00691EA2" w:rsidRDefault="00F874ED">
      <w:pPr>
        <w:pStyle w:val="2"/>
        <w:spacing w:line="400" w:lineRule="exact"/>
        <w:jc w:val="center"/>
        <w:rPr>
          <w:rFonts w:ascii="宋体" w:eastAsia="宋体" w:hAnsi="宋体"/>
          <w:sz w:val="30"/>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124325888"/>
      <w:r>
        <w:rPr>
          <w:rFonts w:ascii="宋体" w:eastAsia="宋体" w:hAnsi="宋体"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A161521"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（一）基金管理人对基金托管人履行托管职责情况进行核查，核查事项包括基金托管人安全保管基金财产、开设基金财产的资金账户、证券账户</w:t>
      </w:r>
      <w:r>
        <w:rPr>
          <w:rFonts w:ascii="宋体" w:eastAsia="宋体" w:hAnsi="宋体" w:cs="Arial" w:hint="eastAsia"/>
          <w:sz w:val="24"/>
          <w:szCs w:val="24"/>
        </w:rPr>
        <w:t>以及投资所需的其他专用账户</w:t>
      </w:r>
      <w:r>
        <w:rPr>
          <w:rFonts w:ascii="宋体" w:eastAsia="宋体" w:hAnsi="宋体" w:cs="Arial" w:hint="eastAsia"/>
          <w:sz w:val="24"/>
        </w:rPr>
        <w:t>、复核基金管理人计算的基金资产净值和各类基金份额的基金份额净值、根据基金管理人指令办理清算交收、相关信息披露和监督基金投资运作等行为。</w:t>
      </w:r>
    </w:p>
    <w:p w14:paraId="0C354F75"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4360561" w14:textId="517714A1"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7795E30" w14:textId="77777777" w:rsidR="00691EA2" w:rsidRDefault="00F874ED">
      <w:pPr>
        <w:widowControl/>
        <w:jc w:val="left"/>
        <w:rPr>
          <w:rFonts w:ascii="宋体" w:eastAsia="宋体" w:hAnsi="宋体"/>
          <w:sz w:val="24"/>
        </w:rPr>
      </w:pPr>
      <w:r>
        <w:rPr>
          <w:rFonts w:ascii="宋体" w:eastAsia="宋体" w:hAnsi="宋体"/>
          <w:sz w:val="24"/>
        </w:rPr>
        <w:br w:type="page"/>
      </w:r>
    </w:p>
    <w:p w14:paraId="661F2C54" w14:textId="77777777" w:rsidR="00691EA2" w:rsidRDefault="00691EA2">
      <w:pPr>
        <w:spacing w:line="400" w:lineRule="exact"/>
        <w:rPr>
          <w:rFonts w:ascii="宋体" w:eastAsia="宋体" w:hAnsi="宋体"/>
          <w:sz w:val="24"/>
        </w:rPr>
      </w:pPr>
    </w:p>
    <w:p w14:paraId="54F48B00" w14:textId="77777777" w:rsidR="00691EA2" w:rsidRDefault="00F874ED">
      <w:pPr>
        <w:pStyle w:val="2"/>
        <w:spacing w:line="400" w:lineRule="exact"/>
        <w:jc w:val="center"/>
        <w:rPr>
          <w:rFonts w:ascii="宋体" w:eastAsia="宋体" w:hAnsi="宋体"/>
          <w:sz w:val="30"/>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r>
        <w:rPr>
          <w:rFonts w:ascii="宋体" w:eastAsia="宋体" w:hAnsi="宋体" w:hint="eastAsia"/>
          <w:sz w:val="30"/>
        </w:rPr>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4855BD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（一）基金财产保管的原则</w:t>
      </w:r>
    </w:p>
    <w:p w14:paraId="4B20FC9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1.基金财产应独立于基金管理人、基金托管人和证券经纪机构的固有财产。</w:t>
      </w:r>
    </w:p>
    <w:p w14:paraId="4B87944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2.基金托管人应安全保管基金财产。</w:t>
      </w:r>
    </w:p>
    <w:p w14:paraId="2B5177E9"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3.基金托管人按照规定开设基金财产的资金账户、证券</w:t>
      </w:r>
      <w:r>
        <w:rPr>
          <w:rFonts w:ascii="宋体" w:eastAsia="宋体" w:hAnsi="宋体" w:cs="Arial" w:hint="eastAsia"/>
          <w:sz w:val="24"/>
          <w:szCs w:val="24"/>
        </w:rPr>
        <w:t>账户以及投资所需的其他专用</w:t>
      </w:r>
      <w:r>
        <w:rPr>
          <w:rFonts w:ascii="宋体" w:eastAsia="宋体" w:hAnsi="宋体" w:cs="Arial" w:hint="eastAsia"/>
          <w:sz w:val="24"/>
        </w:rPr>
        <w:t>账户。</w:t>
      </w:r>
    </w:p>
    <w:p w14:paraId="6F71FDF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4.基金托管人对所托管的不同基金财产分别设置账户，独立核算，分账管理，确保基金财产的完整与独立。</w:t>
      </w:r>
    </w:p>
    <w:p w14:paraId="03298C4F" w14:textId="605F52C8"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5.基金托管人按照《基金合同》和本协议的约定保管基金财产，如有特殊情况双方可另行协商解决。基金</w:t>
      </w:r>
      <w:r>
        <w:rPr>
          <w:rFonts w:ascii="宋体" w:eastAsia="宋体" w:hAnsi="宋体" w:hint="eastAsia"/>
          <w:sz w:val="24"/>
        </w:rPr>
        <w:t>托管人未经基金管理人的指令，不得自行运用、处分、分配本基金的任何资产（不包含开户银行或交易/登记结算机构扣收交易费、结算费和账户维护费等费用）。</w:t>
      </w:r>
    </w:p>
    <w:p w14:paraId="6BF86B91"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14:paraId="344394B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7.除依据法律法规和《基金合同》的规定外，基金托管人不得委托第三人托管基金财产。</w:t>
      </w:r>
    </w:p>
    <w:p w14:paraId="1FACDE6A"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（二）基金募集期间及募集资金的验资</w:t>
      </w:r>
    </w:p>
    <w:p w14:paraId="45DD493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1.基金募集期间募集的资金应存于基金管理人在基金托管人的营业机构开立的“基金募集专户”。该账户由基金管理人开立并管理。</w:t>
      </w:r>
    </w:p>
    <w:p w14:paraId="554FCD54" w14:textId="43F7AAE2"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7184E861" w14:textId="0F636CFB"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3.若基金募集期限届满，未能达到</w:t>
      </w:r>
      <w:r w:rsidR="00814E76" w:rsidRPr="00EB6B3F">
        <w:rPr>
          <w:rFonts w:ascii="宋体" w:eastAsia="宋体" w:hAnsi="宋体" w:cs="Arial" w:hint="eastAsia"/>
          <w:sz w:val="24"/>
        </w:rPr>
        <w:t>《基金合同》生效</w:t>
      </w:r>
      <w:r>
        <w:rPr>
          <w:rFonts w:ascii="宋体" w:eastAsia="宋体" w:hAnsi="宋体" w:cs="Arial" w:hint="eastAsia"/>
          <w:sz w:val="24"/>
        </w:rPr>
        <w:t>的条件，由基金管理人按规定办理退款等事宜。</w:t>
      </w:r>
    </w:p>
    <w:p w14:paraId="12D3BB6A"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（三）基金托管资金账户的开立和管理</w:t>
      </w:r>
    </w:p>
    <w:p w14:paraId="5FC993D1"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1.基金托管人可以本基金的名义在其营业机构开立基金的托管资金账户，并</w:t>
      </w:r>
      <w:r>
        <w:rPr>
          <w:rFonts w:ascii="宋体" w:eastAsia="宋体" w:hAnsi="宋体" w:cs="Arial" w:hint="eastAsia"/>
          <w:sz w:val="24"/>
        </w:rPr>
        <w:lastRenderedPageBreak/>
        <w:t>根据基金管理人合法合规的指令办理资金收付。本基金的银行预留印鉴由基金托管人保管和使用。</w:t>
      </w:r>
    </w:p>
    <w:p w14:paraId="5338AF9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14:paraId="40B5E91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3.基金托管资金账户的开立和管理应符合银行业监督管理机构的有关规定。</w:t>
      </w:r>
    </w:p>
    <w:p w14:paraId="1DBBBCAC"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4.在符合法律法规规定的条件下，基金托管人可以通过基金托管人专用账户办理基金资产的支付。</w:t>
      </w:r>
    </w:p>
    <w:p w14:paraId="4641D77E"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5.基金管理人应于本基金到期后及时完成收益兑付、费用结清及其他应收应付款项资金划转，在本基金赎回款全部划出后的10个工作日内向基金托管人发出销户申请。</w:t>
      </w:r>
    </w:p>
    <w:p w14:paraId="66F4E1C6" w14:textId="77777777" w:rsidR="00E95B58" w:rsidRPr="00EB6B3F" w:rsidRDefault="00F874ED" w:rsidP="00EB6B3F">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（四）</w:t>
      </w:r>
      <w:r w:rsidR="00E95B58" w:rsidRPr="00EB6B3F">
        <w:rPr>
          <w:rFonts w:ascii="宋体" w:eastAsia="宋体" w:hAnsi="宋体" w:cs="Arial" w:hint="eastAsia"/>
          <w:sz w:val="24"/>
        </w:rPr>
        <w:t>基金证券账户的开立和管理</w:t>
      </w:r>
    </w:p>
    <w:p w14:paraId="5B866370"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sz w:val="24"/>
        </w:rPr>
        <w:t>1.</w:t>
      </w:r>
      <w:r w:rsidRPr="00EB6B3F">
        <w:rPr>
          <w:rFonts w:ascii="宋体" w:eastAsia="宋体" w:hAnsi="宋体" w:cs="Arial" w:hint="eastAsia"/>
          <w:sz w:val="24"/>
        </w:rPr>
        <w:t>基金托管人在中国证券登记结算有限责任公司为基金开立基金托管人与基金联名的证券账户。</w:t>
      </w:r>
    </w:p>
    <w:p w14:paraId="4DA198DA"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B71C2E1"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sz w:val="24"/>
        </w:rPr>
        <w:t>3.基金证券账户的开立和证券账户卡的保管由基金托管人负责，账户资产的管理和运用由基金管理人负责。</w:t>
      </w:r>
    </w:p>
    <w:p w14:paraId="664E09DA"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hint="eastAsia"/>
          <w:sz w:val="24"/>
        </w:rPr>
        <w:t>证券账户开户费由基金管理人先行垫付</w:t>
      </w:r>
      <w:r w:rsidRPr="00EB6B3F">
        <w:rPr>
          <w:rFonts w:ascii="宋体" w:eastAsia="宋体" w:hAnsi="宋体" w:cs="Arial"/>
          <w:sz w:val="24"/>
        </w:rPr>
        <w:t>,待托管产品启始运营后,基金管理人可向基金托管人发送划款指令,将代垫开户费从本基金托管资金账户中扣还基金管理人。</w:t>
      </w:r>
    </w:p>
    <w:p w14:paraId="5ADCE169"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sz w:val="24"/>
        </w:rPr>
        <w:t>4、账户注销时，在遵守中国证券登记结算有限责任公司的相关规定下，由基金管理人和基金托管人协商确认主要办理人。账户注销期间，主要办理人如需另一方提供配合的，另一方应予以配合。</w:t>
      </w:r>
    </w:p>
    <w:p w14:paraId="66C06497" w14:textId="77777777" w:rsidR="00E95B58" w:rsidRPr="00EB6B3F" w:rsidRDefault="00E95B58" w:rsidP="00EB6B3F">
      <w:pPr>
        <w:adjustRightInd w:val="0"/>
        <w:snapToGrid w:val="0"/>
        <w:spacing w:line="400" w:lineRule="exact"/>
        <w:ind w:firstLine="480"/>
        <w:rPr>
          <w:rFonts w:ascii="宋体" w:eastAsia="宋体" w:hAnsi="宋体" w:cs="Arial"/>
          <w:sz w:val="24"/>
        </w:rPr>
      </w:pPr>
      <w:r w:rsidRPr="00EB6B3F">
        <w:rPr>
          <w:rFonts w:ascii="宋体" w:eastAsia="宋体" w:hAnsi="宋体" w:cs="Arial"/>
          <w:sz w:val="24"/>
        </w:rPr>
        <w:t>5.若中国证监会或其他监管机构在本托管协议订立日之后允许基金从事其他投资品种的投资业务，涉及相关账户的开立、使用的，若无相关规定，</w:t>
      </w:r>
      <w:r w:rsidRPr="00EB6B3F">
        <w:rPr>
          <w:rFonts w:ascii="宋体" w:eastAsia="宋体" w:hAnsi="宋体" w:cs="Arial" w:hint="eastAsia"/>
          <w:sz w:val="24"/>
        </w:rPr>
        <w:t>则基金托管人比照上述关于账户开立、使用的规定执行。</w:t>
      </w:r>
    </w:p>
    <w:p w14:paraId="7DDFE0D3" w14:textId="77777777" w:rsidR="00691EA2" w:rsidRDefault="00E95B58">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（五）</w:t>
      </w:r>
      <w:r w:rsidR="00F874ED">
        <w:rPr>
          <w:rFonts w:ascii="宋体" w:eastAsia="宋体" w:hAnsi="宋体" w:cs="Arial" w:hint="eastAsia"/>
          <w:sz w:val="24"/>
        </w:rPr>
        <w:t>证券资金账户的开立与管理</w:t>
      </w:r>
    </w:p>
    <w:p w14:paraId="10C0F50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以基金名义在基金管理人选择的证券经纪机构营业网点开立证券资金账户，用于基金财产证券交易结算资金的存管、记载交易结算资金的变动明细以及场内证券交易清算，并与基金托管人开立的托管资金</w:t>
      </w:r>
      <w:r>
        <w:rPr>
          <w:rFonts w:ascii="宋体" w:eastAsia="宋体" w:hAnsi="宋体" w:cs="Arial"/>
          <w:sz w:val="24"/>
        </w:rPr>
        <w:t>账户</w:t>
      </w:r>
      <w:r>
        <w:rPr>
          <w:rFonts w:ascii="宋体" w:eastAsia="宋体" w:hAnsi="宋体" w:cs="Arial" w:hint="eastAsia"/>
          <w:sz w:val="24"/>
        </w:rPr>
        <w:t>建立第三方存管关系。证券经纪机构根据相关法律法规、规范性文件为本基金开立证券资金账户，并按照该证券经营机构开户的流程和要求与基金管理人签订相关协议。</w:t>
      </w:r>
    </w:p>
    <w:p w14:paraId="55855A2C"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交易所证券交易资金采用第三方存管模式，即用于证券交易的结算资金全额</w:t>
      </w:r>
      <w:r>
        <w:rPr>
          <w:rFonts w:ascii="宋体" w:eastAsia="宋体" w:hAnsi="宋体" w:cs="Arial" w:hint="eastAsia"/>
          <w:sz w:val="24"/>
        </w:rPr>
        <w:lastRenderedPageBreak/>
        <w:t>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w:t>
      </w:r>
      <w:r w:rsidR="00E95B58" w:rsidRPr="00EB6B3F">
        <w:rPr>
          <w:rFonts w:ascii="宋体" w:eastAsia="宋体" w:hAnsi="宋体" w:cs="Arial" w:hint="eastAsia"/>
          <w:sz w:val="24"/>
        </w:rPr>
        <w:t>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w:t>
      </w:r>
      <w:r>
        <w:rPr>
          <w:rFonts w:ascii="宋体" w:eastAsia="宋体" w:hAnsi="宋体" w:cs="Arial" w:hint="eastAsia"/>
          <w:sz w:val="24"/>
        </w:rPr>
        <w:t>基金托管人不负责办理场内的证券交易资金清算，也不负责保管证券资金账户内存放的资金。</w:t>
      </w:r>
    </w:p>
    <w:p w14:paraId="1518BBF2" w14:textId="0710264F"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sidR="00C92A1B">
        <w:rPr>
          <w:rFonts w:ascii="宋体" w:eastAsia="宋体" w:hAnsi="宋体" w:cs="Arial" w:hint="eastAsia"/>
          <w:sz w:val="24"/>
        </w:rPr>
        <w:t>六</w:t>
      </w:r>
      <w:r>
        <w:rPr>
          <w:rFonts w:ascii="宋体" w:eastAsia="宋体" w:hAnsi="宋体" w:cs="Arial" w:hint="eastAsia"/>
          <w:sz w:val="24"/>
        </w:rPr>
        <w:t>）银行间账户的开设和管理</w:t>
      </w:r>
    </w:p>
    <w:p w14:paraId="70EEEA8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8A774E4" w14:textId="119A5615"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sidR="00C92A1B">
        <w:rPr>
          <w:rFonts w:ascii="宋体" w:eastAsia="宋体" w:hAnsi="宋体" w:cs="Arial" w:hint="eastAsia"/>
          <w:sz w:val="24"/>
        </w:rPr>
        <w:t>七</w:t>
      </w:r>
      <w:r>
        <w:rPr>
          <w:rFonts w:ascii="宋体" w:eastAsia="宋体" w:hAnsi="宋体" w:cs="Arial" w:hint="eastAsia"/>
          <w:sz w:val="24"/>
        </w:rPr>
        <w:t>）其他账户的开立和管理</w:t>
      </w:r>
    </w:p>
    <w:p w14:paraId="6B3C057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8A9F693"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2.法律法规等有关规定对相关账户的开立和管理另有规定的，从其规定办理。</w:t>
      </w:r>
    </w:p>
    <w:p w14:paraId="2B655187" w14:textId="68E50BA3"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w:t>
      </w:r>
      <w:r w:rsidR="00C92A1B">
        <w:rPr>
          <w:rFonts w:ascii="宋体" w:eastAsia="宋体" w:hAnsi="宋体" w:cs="Arial" w:hint="eastAsia"/>
          <w:sz w:val="24"/>
        </w:rPr>
        <w:t>八</w:t>
      </w:r>
      <w:r>
        <w:rPr>
          <w:rFonts w:ascii="宋体" w:eastAsia="宋体" w:hAnsi="宋体" w:cs="Arial" w:hint="eastAsia"/>
          <w:sz w:val="24"/>
        </w:rPr>
        <w:t>）基金财产投资的有关有价凭证等的保管</w:t>
      </w:r>
    </w:p>
    <w:p w14:paraId="68F55FB6" w14:textId="77777777" w:rsidR="00691EA2" w:rsidRDefault="00F874ED">
      <w:pPr>
        <w:adjustRightInd w:val="0"/>
        <w:snapToGrid w:val="0"/>
        <w:spacing w:line="400" w:lineRule="exact"/>
        <w:ind w:firstLineChars="200" w:firstLine="480"/>
        <w:rPr>
          <w:rFonts w:ascii="宋体" w:eastAsia="宋体" w:hAnsi="宋体" w:cs="Arial"/>
        </w:rPr>
      </w:pPr>
      <w:r>
        <w:rPr>
          <w:rFonts w:ascii="宋体" w:eastAsia="宋体" w:hAnsi="宋体" w:cs="Arial" w:hint="eastAsia"/>
          <w:sz w:val="24"/>
        </w:rPr>
        <w:t>基金财产投资的有关实物证券、银行</w:t>
      </w:r>
      <w:r>
        <w:rPr>
          <w:rFonts w:ascii="宋体" w:eastAsia="宋体" w:hAnsi="宋体" w:hint="eastAsia"/>
          <w:sz w:val="24"/>
        </w:rPr>
        <w:t>存款开户证实书</w:t>
      </w:r>
      <w:r>
        <w:rPr>
          <w:rFonts w:ascii="宋体" w:eastAsia="宋体"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865C7BF" w14:textId="35FC6C45"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sidR="00C92A1B">
        <w:rPr>
          <w:rFonts w:ascii="宋体" w:eastAsia="宋体" w:hAnsi="宋体" w:cs="Arial" w:hint="eastAsia"/>
          <w:sz w:val="24"/>
        </w:rPr>
        <w:t>九</w:t>
      </w:r>
      <w:r>
        <w:rPr>
          <w:rFonts w:ascii="宋体" w:eastAsia="宋体" w:hAnsi="宋体" w:cs="Arial" w:hint="eastAsia"/>
          <w:sz w:val="24"/>
        </w:rPr>
        <w:t>）与基金财产有关的重大合同的保管</w:t>
      </w:r>
    </w:p>
    <w:p w14:paraId="63ACC32D" w14:textId="77777777" w:rsidR="00691EA2" w:rsidRDefault="00F874ED">
      <w:pPr>
        <w:adjustRightInd w:val="0"/>
        <w:snapToGrid w:val="0"/>
        <w:spacing w:line="400" w:lineRule="exact"/>
        <w:ind w:firstLineChars="200" w:firstLine="480"/>
        <w:rPr>
          <w:rFonts w:ascii="宋体" w:eastAsia="宋体" w:hAnsi="宋体"/>
          <w:sz w:val="30"/>
          <w:szCs w:val="30"/>
        </w:rPr>
      </w:pPr>
      <w:r>
        <w:rPr>
          <w:rFonts w:ascii="宋体" w:eastAsia="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Pr>
          <w:rFonts w:ascii="宋体" w:eastAsia="宋体" w:hAnsi="宋体" w:cs="Arial" w:hint="eastAsia"/>
          <w:sz w:val="24"/>
        </w:rPr>
        <w:lastRenderedPageBreak/>
        <w:t>管人，并在三十个工作日内将正本送达基金托管人处。重大合同的保管期限不低于法律法规规定的最低期限。</w:t>
      </w:r>
    </w:p>
    <w:p w14:paraId="75C8788D" w14:textId="77777777" w:rsidR="00691EA2" w:rsidRDefault="00F874ED">
      <w:pPr>
        <w:widowControl/>
        <w:jc w:val="left"/>
        <w:rPr>
          <w:rFonts w:ascii="宋体" w:eastAsia="宋体" w:hAnsi="宋体"/>
          <w:sz w:val="24"/>
        </w:rPr>
      </w:pPr>
      <w:r>
        <w:rPr>
          <w:rFonts w:ascii="宋体" w:eastAsia="宋体" w:hAnsi="宋体"/>
          <w:sz w:val="24"/>
        </w:rPr>
        <w:br w:type="page"/>
      </w:r>
    </w:p>
    <w:p w14:paraId="26C5A5F2" w14:textId="77777777" w:rsidR="00691EA2" w:rsidRDefault="00691EA2">
      <w:pPr>
        <w:spacing w:line="400" w:lineRule="exact"/>
        <w:rPr>
          <w:rFonts w:ascii="宋体" w:eastAsia="宋体" w:hAnsi="宋体"/>
          <w:sz w:val="24"/>
        </w:rPr>
      </w:pPr>
    </w:p>
    <w:p w14:paraId="077BFDF9" w14:textId="77777777" w:rsidR="00691EA2" w:rsidRDefault="00F874ED">
      <w:pPr>
        <w:pStyle w:val="2"/>
        <w:spacing w:line="400" w:lineRule="exact"/>
        <w:jc w:val="center"/>
        <w:rPr>
          <w:rFonts w:ascii="宋体" w:eastAsia="宋体" w:hAnsi="宋体"/>
          <w:sz w:val="30"/>
        </w:rPr>
      </w:pPr>
      <w:bookmarkStart w:id="50" w:name="_Toc84133787"/>
      <w:bookmarkStart w:id="51" w:name="_Toc84234389"/>
      <w:bookmarkStart w:id="52" w:name="_Toc84234436"/>
      <w:bookmarkStart w:id="53" w:name="_Toc86204790"/>
      <w:bookmarkStart w:id="54" w:name="_Toc86223244"/>
      <w:bookmarkStart w:id="55" w:name="_Toc86225293"/>
      <w:bookmarkStart w:id="56" w:name="_Toc86649724"/>
      <w:bookmarkStart w:id="57" w:name="_Toc86726441"/>
      <w:bookmarkStart w:id="58" w:name="_Toc86727357"/>
      <w:bookmarkStart w:id="59" w:name="_Toc86737931"/>
      <w:bookmarkStart w:id="60" w:name="_Toc89163370"/>
      <w:bookmarkStart w:id="61" w:name="_Toc108512360"/>
      <w:bookmarkStart w:id="62" w:name="_Toc110761798"/>
      <w:bookmarkStart w:id="63" w:name="_Toc110765662"/>
      <w:bookmarkStart w:id="64" w:name="_Toc110830494"/>
      <w:bookmarkStart w:id="65" w:name="_Toc118212952"/>
      <w:bookmarkStart w:id="66" w:name="_Toc118774805"/>
      <w:bookmarkStart w:id="67" w:name="_Toc118972650"/>
      <w:bookmarkStart w:id="68" w:name="_Toc119402712"/>
      <w:bookmarkStart w:id="69" w:name="_Toc120435785"/>
      <w:bookmarkStart w:id="70" w:name="_Toc124325890"/>
      <w:r>
        <w:rPr>
          <w:rFonts w:ascii="宋体" w:eastAsia="宋体" w:hAnsi="宋体" w:hint="eastAsia"/>
          <w:sz w:val="30"/>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CAF0C1"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基金管理人在运用基金财产开展场内证券交易时，应通过基金托管</w:t>
      </w:r>
      <w:r w:rsidR="002B0D3B">
        <w:rPr>
          <w:rFonts w:ascii="宋体" w:eastAsia="宋体" w:hAnsi="宋体" w:cs="Arial" w:hint="eastAsia"/>
          <w:sz w:val="24"/>
        </w:rPr>
        <w:t>资金</w:t>
      </w:r>
      <w:r>
        <w:rPr>
          <w:rFonts w:ascii="宋体" w:eastAsia="宋体" w:hAnsi="宋体" w:cs="Arial" w:hint="eastAsia"/>
          <w:sz w:val="24"/>
        </w:rPr>
        <w:t>账户与证券资金账户已建立的第三方存管系统实现基金托管</w:t>
      </w:r>
      <w:r w:rsidR="002B0D3B">
        <w:rPr>
          <w:rFonts w:ascii="宋体" w:eastAsia="宋体" w:hAnsi="宋体" w:cs="Arial" w:hint="eastAsia"/>
          <w:sz w:val="24"/>
        </w:rPr>
        <w:t>资金</w:t>
      </w:r>
      <w:r>
        <w:rPr>
          <w:rFonts w:ascii="宋体" w:eastAsia="宋体" w:hAnsi="宋体" w:cs="Arial" w:hint="eastAsia"/>
          <w:sz w:val="24"/>
        </w:rPr>
        <w:t>账户与证券资金账户之间的资金划转，即银证互转。</w:t>
      </w:r>
    </w:p>
    <w:p w14:paraId="1682F7E7"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基金管理人在运用基金财产时向基金托管人发送资金划拨及其他款项付款指令，基金托管人执行基金管理人的指令、办理基金名下的资金往来等有关事项。</w:t>
      </w:r>
    </w:p>
    <w:p w14:paraId="396D1FF3"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（一）基金管理人对发送指令人员的书面授权</w:t>
      </w:r>
    </w:p>
    <w:p w14:paraId="2A6F8E9C"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1.基金管理人应指定专人向基金托管人发送指令。</w:t>
      </w:r>
    </w:p>
    <w:p w14:paraId="14BECEA4"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2.基金管理人应向基金托管人提供书面授权文件原件，内容包括被授权人名单、预留印鉴及被授权人签字样本，授权文件应注明被授权人相应的权限</w:t>
      </w:r>
      <w:r>
        <w:rPr>
          <w:rFonts w:ascii="宋体" w:eastAsia="宋体" w:hAnsi="宋体" w:cs="Arial"/>
          <w:sz w:val="24"/>
        </w:rPr>
        <w:t xml:space="preserve">, </w:t>
      </w:r>
      <w:r>
        <w:rPr>
          <w:rFonts w:ascii="宋体" w:eastAsia="宋体" w:hAnsi="宋体" w:cs="Arial" w:hint="eastAsia"/>
          <w:sz w:val="24"/>
        </w:rPr>
        <w:t>并加盖单位公章。</w:t>
      </w:r>
    </w:p>
    <w:p w14:paraId="770A267E"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B73A37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4.基金管理人和基金托管人对授权文件负有保密义务，其内容不得向被授权人及相关操作人员以外的任何人泄露。但法律法规规定或有权机关要求的除外。</w:t>
      </w:r>
    </w:p>
    <w:p w14:paraId="7E52D11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（二）指令的内容</w:t>
      </w:r>
    </w:p>
    <w:p w14:paraId="4A2C366C"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1.指令包括付款指令以及其他资金划拨指令等。</w:t>
      </w:r>
    </w:p>
    <w:p w14:paraId="1D30A9C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2.基金管理人发给基金托管人的指令应写明款项事由、支付时间、到账时间、金额、收付款账户等，加盖预留印鉴并由被授权人签字。</w:t>
      </w:r>
    </w:p>
    <w:p w14:paraId="6EEDD0EA"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（三）指令的发送、确认及执行的时间和程序</w:t>
      </w:r>
    </w:p>
    <w:p w14:paraId="3474A5D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1.指令的发送</w:t>
      </w:r>
    </w:p>
    <w:p w14:paraId="7A0B9E58"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基金管理人发送指令应采用传真方式或双方协商一致的其他方式。</w:t>
      </w:r>
    </w:p>
    <w:p w14:paraId="2AC6835E"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CAA681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指令发出后，基金管理人应及时以电话方式向基金托管人确认。</w:t>
      </w:r>
    </w:p>
    <w:p w14:paraId="50691ED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hint="eastAsia"/>
          <w:sz w:val="24"/>
        </w:rPr>
        <w:t>基金管理人应在银行间交易成交后，及时将通知单、相关文件及划款指令加</w:t>
      </w:r>
      <w:r>
        <w:rPr>
          <w:rFonts w:ascii="宋体" w:eastAsia="宋体"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6BD1E790"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2.指令的确认</w:t>
      </w:r>
    </w:p>
    <w:p w14:paraId="6EAD7300"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F21B23A"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3.指令的时间和执行</w:t>
      </w:r>
    </w:p>
    <w:p w14:paraId="1ABF0BDA" w14:textId="77777777" w:rsidR="00691EA2" w:rsidRDefault="00F874ED">
      <w:pPr>
        <w:pStyle w:val="ae"/>
        <w:spacing w:line="400" w:lineRule="exact"/>
        <w:ind w:firstLineChars="0"/>
        <w:rPr>
          <w:rFonts w:ascii="宋体" w:eastAsia="宋体" w:hAnsi="宋体" w:cs="Arial"/>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14:paraId="2E366730" w14:textId="77777777" w:rsidR="00691EA2" w:rsidRDefault="00F874ED">
      <w:pPr>
        <w:pStyle w:val="ae"/>
        <w:spacing w:line="400" w:lineRule="exact"/>
        <w:ind w:firstLineChars="0"/>
        <w:rPr>
          <w:rFonts w:ascii="宋体" w:eastAsia="宋体" w:hAnsi="宋体" w:cs="Arial"/>
        </w:rPr>
      </w:pPr>
      <w:r>
        <w:rPr>
          <w:rFonts w:ascii="宋体" w:eastAsia="宋体" w:hAnsi="宋体" w:cs="Arial" w:hint="eastAsia"/>
        </w:rPr>
        <w:t>（四）基金管理人发送错误指令的情形和处理程序</w:t>
      </w:r>
    </w:p>
    <w:p w14:paraId="782170BB" w14:textId="77777777" w:rsidR="00691EA2" w:rsidRDefault="00F874ED">
      <w:pPr>
        <w:adjustRightInd w:val="0"/>
        <w:snapToGrid w:val="0"/>
        <w:spacing w:line="400" w:lineRule="exact"/>
        <w:ind w:firstLineChars="200" w:firstLine="480"/>
        <w:rPr>
          <w:rFonts w:ascii="宋体" w:eastAsia="宋体" w:hAnsi="宋体" w:cs="Arial"/>
          <w:sz w:val="24"/>
          <w:szCs w:val="30"/>
        </w:rPr>
      </w:pPr>
      <w:r>
        <w:rPr>
          <w:rFonts w:ascii="宋体" w:eastAsia="宋体" w:hAnsi="宋体" w:cs="Arial" w:hint="eastAsia"/>
          <w:sz w:val="24"/>
          <w:szCs w:val="30"/>
        </w:rPr>
        <w:t>基金管理人发送错误指令的情形包括指令违反法律法规、监管规定、《基金合同》和本协议的约定，或指令发送人员无权或超越权限发送指令。</w:t>
      </w:r>
    </w:p>
    <w:p w14:paraId="35EE9D09"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基金托管人发现基金管理人的指令错误时，有权拒绝执行，并及时通知基金管理人改正。如需托管人撤销尚未执行的指令，基金管理人应出具作废指令或作废说明，并电话通知托管人。</w:t>
      </w:r>
    </w:p>
    <w:p w14:paraId="1E0B39B7"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（五）基金托管人未按照基金管理人指令执行的处理方法</w:t>
      </w:r>
    </w:p>
    <w:p w14:paraId="2FB1D3FC"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基金托管人由于</w:t>
      </w:r>
      <w:r w:rsidR="00216EF7">
        <w:rPr>
          <w:rFonts w:ascii="宋体" w:eastAsia="宋体" w:hAnsi="宋体" w:cs="Arial" w:hint="eastAsia"/>
          <w:sz w:val="24"/>
          <w:szCs w:val="30"/>
        </w:rPr>
        <w:t>自身</w:t>
      </w:r>
      <w:r>
        <w:rPr>
          <w:rFonts w:ascii="宋体" w:eastAsia="宋体" w:hAnsi="宋体" w:cs="Arial" w:hint="eastAsia"/>
          <w:sz w:val="24"/>
          <w:szCs w:val="30"/>
        </w:rPr>
        <w:t>过错，未按照基金管理人发送的符合法律法规、监管规定、《基金合同》和本协议约定的指令执行并对基金财产或投资人造成的直接损失，由基金托管人赔偿由此造成的直接损失。</w:t>
      </w:r>
    </w:p>
    <w:p w14:paraId="541E2E5B"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（六）更换被授权人员的程序</w:t>
      </w:r>
    </w:p>
    <w:p w14:paraId="24E541A9"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基金管理人更换被授权人、更改或终止对被授权人的授权，应立即将加盖公章的新的授权文件以传真方式通知基金托管人，并经电话确认后生效，原授权文件同时废止。新的授权文件在传真发出后七个工作日内送达托管人文件正本。新的授权文件生效之后，正本送达之前，基金托管人按照新的授权文件传真件内容执行有关业务，如果新的授权文件正本与传真件内容不同，由此产生的责任由基</w:t>
      </w:r>
      <w:r>
        <w:rPr>
          <w:rFonts w:ascii="宋体" w:eastAsia="宋体" w:hAnsi="宋体" w:cs="Arial" w:hint="eastAsia"/>
          <w:sz w:val="24"/>
          <w:szCs w:val="30"/>
        </w:rPr>
        <w:lastRenderedPageBreak/>
        <w:t>金管理人承担。基金托管人更换接收基金管理人指令的传真号或邮箱地址，应提前通知基金管理人。</w:t>
      </w:r>
    </w:p>
    <w:p w14:paraId="0A14B9C1"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（七）其他事项</w:t>
      </w:r>
    </w:p>
    <w:p w14:paraId="5826CDEB"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63B6A209" w14:textId="77777777" w:rsidR="00691EA2" w:rsidRDefault="00F874ED">
      <w:pPr>
        <w:adjustRightInd w:val="0"/>
        <w:snapToGrid w:val="0"/>
        <w:spacing w:line="400" w:lineRule="exact"/>
        <w:ind w:firstLine="480"/>
        <w:rPr>
          <w:rFonts w:ascii="宋体" w:eastAsia="宋体" w:hAnsi="宋体" w:cs="Arial"/>
          <w:sz w:val="24"/>
          <w:szCs w:val="30"/>
        </w:rPr>
      </w:pPr>
      <w:r>
        <w:rPr>
          <w:rFonts w:ascii="宋体" w:eastAsia="宋体" w:hAnsi="宋体" w:cs="Arial" w:hint="eastAsia"/>
          <w:sz w:val="24"/>
          <w:szCs w:val="30"/>
        </w:rPr>
        <w:t>基金参与认购未上市债券时，基金管理人应代表本基金与对手方签署相关合同或协议，明确约定债券过户具体事宜。否则，基金管理人需对所认购债券的过户事宜承担相应责任。</w:t>
      </w:r>
    </w:p>
    <w:p w14:paraId="70732229" w14:textId="77777777" w:rsidR="00691EA2" w:rsidRDefault="00F874ED">
      <w:pPr>
        <w:widowControl/>
        <w:jc w:val="left"/>
        <w:rPr>
          <w:rFonts w:ascii="宋体" w:eastAsia="宋体" w:hAnsi="宋体" w:cs="Arial"/>
          <w:sz w:val="24"/>
          <w:szCs w:val="30"/>
        </w:rPr>
      </w:pPr>
      <w:r>
        <w:rPr>
          <w:rFonts w:ascii="宋体" w:eastAsia="宋体" w:hAnsi="宋体" w:cs="Arial"/>
          <w:sz w:val="24"/>
          <w:szCs w:val="30"/>
        </w:rPr>
        <w:br w:type="page"/>
      </w:r>
    </w:p>
    <w:p w14:paraId="0BF27882" w14:textId="77777777" w:rsidR="00691EA2" w:rsidRDefault="00691EA2">
      <w:pPr>
        <w:adjustRightInd w:val="0"/>
        <w:snapToGrid w:val="0"/>
        <w:spacing w:line="400" w:lineRule="exact"/>
        <w:rPr>
          <w:rFonts w:ascii="宋体" w:eastAsia="宋体" w:hAnsi="宋体" w:cs="Arial"/>
          <w:sz w:val="24"/>
        </w:rPr>
      </w:pPr>
    </w:p>
    <w:p w14:paraId="7005BF35" w14:textId="77777777" w:rsidR="00691EA2" w:rsidRDefault="00F874ED">
      <w:pPr>
        <w:pStyle w:val="2"/>
        <w:spacing w:line="400" w:lineRule="exact"/>
        <w:jc w:val="center"/>
        <w:rPr>
          <w:rFonts w:ascii="宋体" w:eastAsia="宋体" w:hAnsi="宋体"/>
          <w:sz w:val="30"/>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r>
        <w:rPr>
          <w:rFonts w:ascii="宋体" w:eastAsia="宋体" w:hAnsi="宋体" w:hint="eastAsia"/>
          <w:sz w:val="30"/>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78545FF" w14:textId="77777777" w:rsidR="001C26BD" w:rsidRPr="00EB6B3F" w:rsidRDefault="001C26B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hint="eastAsia"/>
          <w:sz w:val="24"/>
          <w:szCs w:val="30"/>
        </w:rPr>
        <w:t>（一）选择证券买卖的证券经营机构</w:t>
      </w:r>
    </w:p>
    <w:p w14:paraId="3EDB1749" w14:textId="77777777" w:rsidR="00F874ED" w:rsidRPr="00EB6B3F" w:rsidRDefault="00F874ED" w:rsidP="00EB6B3F">
      <w:pPr>
        <w:adjustRightInd w:val="0"/>
        <w:snapToGrid w:val="0"/>
        <w:spacing w:line="360" w:lineRule="auto"/>
        <w:ind w:firstLineChars="200" w:firstLine="480"/>
        <w:rPr>
          <w:rFonts w:ascii="宋体" w:eastAsia="宋体" w:hAnsi="宋体" w:cs="Arial"/>
          <w:sz w:val="24"/>
          <w:szCs w:val="30"/>
        </w:rPr>
      </w:pPr>
      <w:r w:rsidRPr="00EB6B3F">
        <w:rPr>
          <w:rFonts w:ascii="宋体" w:eastAsia="宋体" w:hAnsi="宋体" w:cs="Arial" w:hint="eastAsia"/>
          <w:sz w:val="24"/>
          <w:szCs w:val="30"/>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w:t>
      </w:r>
      <w:r w:rsidRPr="00EB6B3F">
        <w:rPr>
          <w:rFonts w:ascii="宋体" w:eastAsia="宋体" w:hAnsi="宋体" w:cs="Arial"/>
          <w:sz w:val="24"/>
          <w:szCs w:val="30"/>
        </w:rPr>
        <w:t>,并在法定信息披露公告中披露关于选择证券公司的标准和程序等信息。</w:t>
      </w:r>
    </w:p>
    <w:p w14:paraId="76192894" w14:textId="77777777" w:rsidR="00F874ED" w:rsidRPr="00EB6B3F" w:rsidRDefault="00F874ED" w:rsidP="00EB6B3F">
      <w:pPr>
        <w:adjustRightInd w:val="0"/>
        <w:snapToGrid w:val="0"/>
        <w:spacing w:line="360" w:lineRule="auto"/>
        <w:ind w:firstLineChars="200" w:firstLine="480"/>
        <w:rPr>
          <w:rFonts w:ascii="宋体" w:eastAsia="宋体" w:hAnsi="宋体" w:cs="Arial"/>
          <w:sz w:val="24"/>
          <w:szCs w:val="30"/>
        </w:rPr>
      </w:pPr>
      <w:r w:rsidRPr="00EB6B3F">
        <w:rPr>
          <w:rFonts w:ascii="宋体" w:eastAsia="宋体" w:hAnsi="宋体" w:cs="Arial" w:hint="eastAsia"/>
          <w:sz w:val="24"/>
          <w:szCs w:val="30"/>
        </w:rPr>
        <w:t>本基金在开始进行期货投资之前，应与基金托管人、期货公司三方一同就期货开户、清算、估值、交收等事宜另行签署《期货投资托管操作三方备忘录》。</w:t>
      </w:r>
    </w:p>
    <w:p w14:paraId="3E36A688" w14:textId="77777777" w:rsidR="00F874ED" w:rsidRPr="00EB6B3F" w:rsidRDefault="00F874ED" w:rsidP="00EB6B3F">
      <w:pPr>
        <w:adjustRightInd w:val="0"/>
        <w:snapToGrid w:val="0"/>
        <w:spacing w:line="360" w:lineRule="auto"/>
        <w:ind w:firstLineChars="200" w:firstLine="480"/>
        <w:rPr>
          <w:rFonts w:ascii="宋体" w:eastAsia="宋体" w:hAnsi="宋体" w:cs="Arial"/>
          <w:sz w:val="24"/>
          <w:szCs w:val="30"/>
        </w:rPr>
      </w:pPr>
      <w:r w:rsidRPr="00EB6B3F">
        <w:rPr>
          <w:rFonts w:ascii="宋体" w:eastAsia="宋体" w:hAnsi="宋体" w:cs="Arial" w:hint="eastAsia"/>
          <w:sz w:val="24"/>
          <w:szCs w:val="30"/>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519F977B" w14:textId="77777777" w:rsidR="00F874ED" w:rsidRPr="00EB6B3F" w:rsidRDefault="00F874E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hint="eastAsia"/>
          <w:sz w:val="24"/>
          <w:szCs w:val="30"/>
        </w:rPr>
        <w:t>（二）基金投资证券后的清算交收安排</w:t>
      </w:r>
    </w:p>
    <w:p w14:paraId="72832EFC" w14:textId="77777777" w:rsidR="00F874ED" w:rsidRPr="00EB6B3F" w:rsidRDefault="00F874E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sz w:val="24"/>
          <w:szCs w:val="30"/>
        </w:rPr>
        <w:t>1.清算与交割</w:t>
      </w:r>
    </w:p>
    <w:p w14:paraId="2DAE6991" w14:textId="77777777" w:rsidR="00F874ED" w:rsidRPr="00EB6B3F" w:rsidRDefault="00F874E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hint="eastAsia"/>
          <w:sz w:val="24"/>
          <w:szCs w:val="30"/>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1714A86F" w14:textId="77777777" w:rsidR="00F874ED" w:rsidRPr="00EB6B3F" w:rsidRDefault="00F874E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hint="eastAsia"/>
          <w:sz w:val="24"/>
          <w:szCs w:val="30"/>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0E8E6C1D" w14:textId="77777777" w:rsidR="00F874ED" w:rsidRPr="00EB6B3F" w:rsidRDefault="00F874ED" w:rsidP="00EB6B3F">
      <w:pPr>
        <w:adjustRightInd w:val="0"/>
        <w:snapToGrid w:val="0"/>
        <w:spacing w:line="360" w:lineRule="auto"/>
        <w:ind w:firstLine="480"/>
        <w:rPr>
          <w:rFonts w:ascii="宋体" w:eastAsia="宋体" w:hAnsi="宋体" w:cs="Arial"/>
          <w:sz w:val="24"/>
          <w:szCs w:val="30"/>
        </w:rPr>
      </w:pPr>
      <w:r w:rsidRPr="00EB6B3F">
        <w:rPr>
          <w:rFonts w:ascii="宋体" w:eastAsia="宋体" w:hAnsi="宋体" w:cs="Arial" w:hint="eastAsia"/>
          <w:sz w:val="24"/>
          <w:szCs w:val="30"/>
        </w:rPr>
        <w:t>对于任何原因发生的证券资金交收违约事件，相关各方应当及时协商解决。</w:t>
      </w:r>
      <w:r w:rsidRPr="00EB6B3F">
        <w:rPr>
          <w:rFonts w:ascii="宋体" w:eastAsia="宋体" w:hAnsi="宋体" w:cs="Arial"/>
          <w:sz w:val="24"/>
          <w:szCs w:val="30"/>
        </w:rPr>
        <w:cr/>
      </w:r>
      <w:r w:rsidRPr="00EB6B3F">
        <w:rPr>
          <w:rFonts w:ascii="宋体" w:eastAsia="宋体" w:hAnsi="宋体" w:cs="Arial" w:hint="eastAsia"/>
          <w:sz w:val="24"/>
          <w:szCs w:val="30"/>
        </w:rPr>
        <w:t>由于相关方过错在清算上造成基金财产的直接损失，应由过错方承担相应责任。</w:t>
      </w:r>
    </w:p>
    <w:p w14:paraId="319437BB" w14:textId="2968EA0D"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w:t>
      </w:r>
      <w:r w:rsidR="00304AA9">
        <w:rPr>
          <w:rFonts w:ascii="宋体" w:eastAsia="宋体" w:hAnsi="宋体" w:cs="Arial" w:hint="eastAsia"/>
          <w:sz w:val="24"/>
        </w:rPr>
        <w:t>三</w:t>
      </w:r>
      <w:r>
        <w:rPr>
          <w:rFonts w:ascii="宋体" w:eastAsia="宋体" w:hAnsi="宋体" w:cs="Arial"/>
          <w:sz w:val="24"/>
        </w:rPr>
        <w:t>）交易记录、资金和证券账目核对的时间和方式</w:t>
      </w:r>
    </w:p>
    <w:p w14:paraId="1E2AC50C"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lastRenderedPageBreak/>
        <w:t>1</w:t>
      </w:r>
      <w:r>
        <w:rPr>
          <w:rFonts w:ascii="宋体" w:eastAsia="宋体" w:hAnsi="宋体" w:cs="Arial" w:hint="eastAsia"/>
          <w:sz w:val="24"/>
        </w:rPr>
        <w:t>．</w:t>
      </w:r>
      <w:r>
        <w:rPr>
          <w:rFonts w:ascii="宋体" w:eastAsia="宋体" w:hAnsi="宋体" w:cs="Arial"/>
          <w:sz w:val="24"/>
        </w:rPr>
        <w:t>交易记录的核对</w:t>
      </w:r>
    </w:p>
    <w:p w14:paraId="69D6237D" w14:textId="2E682D72"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对基金的交易记录，由基金管理人按日进行核对。对外披露各类基金份额净值之前，必须保证当天所有实际交易记录与基金会计账簿上的交易记录完全一致。如果实际交易记录与会计账簿记录不一致，造成基金会计核算不完整或不真实，由此导致的损失由</w:t>
      </w:r>
      <w:r>
        <w:rPr>
          <w:rFonts w:ascii="宋体" w:eastAsia="宋体" w:hAnsi="宋体" w:cs="Arial" w:hint="eastAsia"/>
          <w:sz w:val="24"/>
        </w:rPr>
        <w:t>管理人</w:t>
      </w:r>
      <w:r>
        <w:rPr>
          <w:rFonts w:ascii="宋体" w:eastAsia="宋体" w:hAnsi="宋体" w:cs="Arial"/>
          <w:sz w:val="24"/>
        </w:rPr>
        <w:t>承担。</w:t>
      </w:r>
    </w:p>
    <w:p w14:paraId="571C7336"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2</w:t>
      </w:r>
      <w:r>
        <w:rPr>
          <w:rFonts w:ascii="宋体" w:eastAsia="宋体" w:hAnsi="宋体" w:cs="Arial" w:hint="eastAsia"/>
          <w:sz w:val="24"/>
        </w:rPr>
        <w:t>。</w:t>
      </w:r>
      <w:r>
        <w:rPr>
          <w:rFonts w:ascii="宋体" w:eastAsia="宋体" w:hAnsi="宋体" w:cs="Arial"/>
          <w:sz w:val="24"/>
        </w:rPr>
        <w:t>资金账目的核对</w:t>
      </w:r>
    </w:p>
    <w:p w14:paraId="797CC1AB"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资金账目由基金管理人和基金托管人按日核实，账实相符。</w:t>
      </w:r>
    </w:p>
    <w:p w14:paraId="421EC245"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3</w:t>
      </w:r>
      <w:r>
        <w:rPr>
          <w:rFonts w:ascii="宋体" w:eastAsia="宋体" w:hAnsi="宋体" w:cs="Arial" w:hint="eastAsia"/>
          <w:sz w:val="24"/>
        </w:rPr>
        <w:t>．</w:t>
      </w:r>
      <w:r>
        <w:rPr>
          <w:rFonts w:ascii="宋体" w:eastAsia="宋体" w:hAnsi="宋体" w:cs="Arial"/>
          <w:sz w:val="24"/>
        </w:rPr>
        <w:t>证券账目的核对</w:t>
      </w:r>
    </w:p>
    <w:p w14:paraId="310FA25D"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基金管理人和基金托管人每交易日结束后根据第三方存管机构发送的对账数据进行证券对账，确保账实相符。</w:t>
      </w:r>
    </w:p>
    <w:p w14:paraId="5C0BDD7E" w14:textId="0F9D87D2"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w:t>
      </w:r>
      <w:r w:rsidR="00304AA9">
        <w:rPr>
          <w:rFonts w:ascii="宋体" w:eastAsia="宋体" w:hAnsi="宋体" w:cs="Arial" w:hint="eastAsia"/>
          <w:sz w:val="24"/>
        </w:rPr>
        <w:t>四</w:t>
      </w:r>
      <w:r>
        <w:rPr>
          <w:rFonts w:ascii="宋体" w:eastAsia="宋体" w:hAnsi="宋体" w:cs="Arial"/>
          <w:sz w:val="24"/>
        </w:rPr>
        <w:t>）基金申购和赎回业务处理的基本规定</w:t>
      </w:r>
    </w:p>
    <w:p w14:paraId="4E3D1B04"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1</w:t>
      </w:r>
      <w:r>
        <w:rPr>
          <w:rFonts w:ascii="宋体" w:eastAsia="宋体" w:hAnsi="宋体" w:cs="Arial" w:hint="eastAsia"/>
          <w:sz w:val="24"/>
        </w:rPr>
        <w:t>．</w:t>
      </w:r>
      <w:r>
        <w:rPr>
          <w:rFonts w:ascii="宋体" w:eastAsia="宋体" w:hAnsi="宋体" w:cs="Arial"/>
          <w:sz w:val="24"/>
        </w:rPr>
        <w:t>基金份额申购、赎回的确认、清算由基金管理人或其委托的登记机构负责。</w:t>
      </w:r>
    </w:p>
    <w:p w14:paraId="1942460B"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2</w:t>
      </w:r>
      <w:r>
        <w:rPr>
          <w:rFonts w:ascii="宋体" w:eastAsia="宋体" w:hAnsi="宋体" w:cs="Arial" w:hint="eastAsia"/>
          <w:sz w:val="24"/>
        </w:rPr>
        <w:t>．</w:t>
      </w:r>
      <w:r>
        <w:rPr>
          <w:rFonts w:ascii="宋体" w:eastAsia="宋体" w:hAnsi="宋体" w:cs="Arial"/>
          <w:sz w:val="24"/>
        </w:rPr>
        <w:t>基金管理人应将每个开放日的申购、赎回的数据传送给基金托管人。基金管理人应对传递的申购、赎回的数据真实性负责。基金托管人应及时查收申购资金的到账情况并根据基金管理人指令及时划付赎回款项。</w:t>
      </w:r>
    </w:p>
    <w:p w14:paraId="1E85C274"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3</w:t>
      </w:r>
      <w:r>
        <w:rPr>
          <w:rFonts w:ascii="宋体" w:eastAsia="宋体" w:hAnsi="宋体" w:cs="Arial" w:hint="eastAsia"/>
          <w:sz w:val="24"/>
        </w:rPr>
        <w:t>．</w:t>
      </w:r>
      <w:r>
        <w:rPr>
          <w:rFonts w:ascii="宋体" w:eastAsia="宋体" w:hAnsi="宋体" w:cs="Arial"/>
          <w:sz w:val="24"/>
        </w:rPr>
        <w:t>基金管理人应保证本基金（或本基金管理人委托）的登记机构每个工作日15:00前向基金托管人发送前一开放日上述有关数据，并保证相关数据的准确、完整。</w:t>
      </w:r>
    </w:p>
    <w:p w14:paraId="0C81A74C" w14:textId="29704959"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4</w:t>
      </w:r>
      <w:r>
        <w:rPr>
          <w:rFonts w:ascii="宋体" w:eastAsia="宋体" w:hAnsi="宋体" w:cs="Arial" w:hint="eastAsia"/>
          <w:sz w:val="24"/>
        </w:rPr>
        <w:t>．</w:t>
      </w:r>
      <w:r>
        <w:rPr>
          <w:rFonts w:ascii="宋体" w:eastAsia="宋体" w:hAnsi="宋体" w:cs="Arial"/>
          <w:sz w:val="24"/>
        </w:rPr>
        <w:t>登记机构应通过与基金托管人建立的加密系统发送有关数据，如因各种原因，该系统无法正常发送，双方可协商解决处理方式。基金管理人向基金托管人发送的数据，双方各自按有关规定保存。</w:t>
      </w:r>
    </w:p>
    <w:p w14:paraId="64FBC934"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5</w:t>
      </w:r>
      <w:r>
        <w:rPr>
          <w:rFonts w:ascii="宋体" w:eastAsia="宋体" w:hAnsi="宋体" w:cs="Arial" w:hint="eastAsia"/>
          <w:sz w:val="24"/>
        </w:rPr>
        <w:t>．</w:t>
      </w:r>
      <w:r>
        <w:rPr>
          <w:rFonts w:ascii="宋体" w:eastAsia="宋体" w:hAnsi="宋体" w:cs="Arial"/>
          <w:sz w:val="24"/>
        </w:rPr>
        <w:t>如基金管理人委托其他机构办理本基金的登记业务，应保证上述相关事宜按时进行。否则，由基金管理人承担相应的责任。</w:t>
      </w:r>
    </w:p>
    <w:p w14:paraId="2A62AB61"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6</w:t>
      </w:r>
      <w:r>
        <w:rPr>
          <w:rFonts w:ascii="宋体" w:eastAsia="宋体" w:hAnsi="宋体" w:cs="Arial" w:hint="eastAsia"/>
          <w:sz w:val="24"/>
        </w:rPr>
        <w:t>．</w:t>
      </w:r>
      <w:r>
        <w:rPr>
          <w:rFonts w:ascii="宋体" w:eastAsia="宋体" w:hAnsi="宋体" w:cs="Arial"/>
          <w:sz w:val="24"/>
        </w:rPr>
        <w:t>关于清算专用账户的设立和管理</w:t>
      </w:r>
    </w:p>
    <w:p w14:paraId="265579C3"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为满足申购、赎回及分红资金汇划的需要，由基金管理人开立资金清算的专用账户，该账户由登记机构管理。</w:t>
      </w:r>
    </w:p>
    <w:p w14:paraId="382CF94B"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7</w:t>
      </w:r>
      <w:r>
        <w:rPr>
          <w:rFonts w:ascii="宋体" w:eastAsia="宋体" w:hAnsi="宋体" w:cs="Arial" w:hint="eastAsia"/>
          <w:sz w:val="24"/>
        </w:rPr>
        <w:t>．</w:t>
      </w:r>
      <w:r>
        <w:rPr>
          <w:rFonts w:ascii="宋体" w:eastAsia="宋体" w:hAnsi="宋体" w:cs="Arial"/>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予以必要的配合。</w:t>
      </w:r>
    </w:p>
    <w:p w14:paraId="306488B7"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lastRenderedPageBreak/>
        <w:t>8</w:t>
      </w:r>
      <w:r>
        <w:rPr>
          <w:rFonts w:ascii="宋体" w:eastAsia="宋体" w:hAnsi="宋体" w:cs="Arial" w:hint="eastAsia"/>
          <w:sz w:val="24"/>
        </w:rPr>
        <w:t>．</w:t>
      </w:r>
      <w:r>
        <w:rPr>
          <w:rFonts w:ascii="宋体" w:eastAsia="宋体" w:hAnsi="宋体" w:cs="Arial"/>
          <w:sz w:val="24"/>
        </w:rPr>
        <w:t>赎回和分红资金划拨规定</w:t>
      </w:r>
    </w:p>
    <w:p w14:paraId="1BDD9F7C"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拨付赎回款或进行基金分红时，如基金托管资金账户有足够的资金，基金托管人应按时拨付；因基金托管资金账户没有足够的资金，导致基金托管人不能按时拨付，</w:t>
      </w:r>
      <w:r>
        <w:rPr>
          <w:rFonts w:ascii="宋体" w:eastAsia="宋体" w:hAnsi="宋体" w:cs="Arial" w:hint="eastAsia"/>
          <w:sz w:val="24"/>
        </w:rPr>
        <w:t>基金托管人应及时通知；</w:t>
      </w:r>
      <w:r>
        <w:rPr>
          <w:rFonts w:ascii="宋体" w:eastAsia="宋体" w:hAnsi="宋体" w:cs="Arial"/>
          <w:sz w:val="24"/>
        </w:rPr>
        <w:t>如系基金管理人的过错原因造成，相应责任由基金管理人承担，基金托管人不承担垫款义务。</w:t>
      </w:r>
    </w:p>
    <w:p w14:paraId="203C2B12"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9</w:t>
      </w:r>
      <w:r>
        <w:rPr>
          <w:rFonts w:ascii="宋体" w:eastAsia="宋体" w:hAnsi="宋体" w:cs="Arial" w:hint="eastAsia"/>
          <w:sz w:val="24"/>
        </w:rPr>
        <w:t>．</w:t>
      </w:r>
      <w:r>
        <w:rPr>
          <w:rFonts w:ascii="宋体" w:eastAsia="宋体" w:hAnsi="宋体" w:cs="Arial"/>
          <w:sz w:val="24"/>
        </w:rPr>
        <w:t>资金指令</w:t>
      </w:r>
    </w:p>
    <w:p w14:paraId="3F4D0EE8"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除申购款项到达基金托管资金账户需双方按约定方式对账外，银行间回购到期付款和与场外投资有关的付款、赎回和分红资金划拨时，基金管理人需向基金托管人下达指令。资金指令的格式、内容、发送、接收和确认方式等与投资指令相同。</w:t>
      </w:r>
    </w:p>
    <w:p w14:paraId="0A41AB0F" w14:textId="4EFDA7E2"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w:t>
      </w:r>
      <w:r w:rsidR="00304AA9">
        <w:rPr>
          <w:rFonts w:ascii="宋体" w:eastAsia="宋体" w:hAnsi="宋体" w:cs="Arial" w:hint="eastAsia"/>
          <w:sz w:val="24"/>
        </w:rPr>
        <w:t>五</w:t>
      </w:r>
      <w:r>
        <w:rPr>
          <w:rFonts w:ascii="宋体" w:eastAsia="宋体" w:hAnsi="宋体" w:cs="Arial"/>
          <w:sz w:val="24"/>
        </w:rPr>
        <w:t>）申赎</w:t>
      </w:r>
      <w:r>
        <w:rPr>
          <w:rFonts w:ascii="宋体" w:eastAsia="宋体" w:hAnsi="宋体" w:cs="Arial" w:hint="eastAsia"/>
          <w:sz w:val="24"/>
        </w:rPr>
        <w:t>的资金结算</w:t>
      </w:r>
    </w:p>
    <w:p w14:paraId="144C0A96" w14:textId="214A843A"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t>基金托管资金账户与“基金清算账户”间的资金结算遵循“全额清算、净额交收”的原则，每日按照托管资金账户应收资金与应付资金的差额来确定当日托管资金账户净应收额或净应付额，以此确定资金交收额。如存在托管资金账户净应收额时，基金管理人应在交收日15:00 之前从基金清算账户划到基金托管资金账户；如存在托管资金账户净应付额时，</w:t>
      </w:r>
      <w:r>
        <w:rPr>
          <w:rFonts w:ascii="宋体" w:eastAsia="宋体" w:hAnsi="宋体" w:cs="Arial" w:hint="eastAsia"/>
          <w:kern w:val="0"/>
          <w:sz w:val="24"/>
        </w:rPr>
        <w:t>基金管理人应在当日10：00 前将划款指令发送给基金托管人，基金托管人按基金管理人的划款指令将托管资金账户净应付额在当日15:00前划往</w:t>
      </w:r>
      <w:r>
        <w:rPr>
          <w:rFonts w:ascii="宋体" w:eastAsia="宋体" w:hAnsi="宋体" w:cs="Arial" w:hint="eastAsia"/>
          <w:sz w:val="24"/>
        </w:rPr>
        <w:t>基金清算账户。</w:t>
      </w:r>
    </w:p>
    <w:p w14:paraId="443ECF72" w14:textId="4435C7B1"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t>当存在托管资金账户净应付额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38A90FAC" w14:textId="12459FE6"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w:t>
      </w:r>
      <w:r w:rsidR="00304AA9">
        <w:rPr>
          <w:rFonts w:ascii="宋体" w:eastAsia="宋体" w:hAnsi="宋体" w:cs="Arial" w:hint="eastAsia"/>
          <w:sz w:val="24"/>
        </w:rPr>
        <w:t>六</w:t>
      </w:r>
      <w:r>
        <w:rPr>
          <w:rFonts w:ascii="宋体" w:eastAsia="宋体" w:hAnsi="宋体" w:cs="Arial"/>
          <w:sz w:val="24"/>
        </w:rPr>
        <w:t>）基金转换</w:t>
      </w:r>
    </w:p>
    <w:p w14:paraId="48CB095C"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1、在本基金与基金管理人管理的其它基金开展转换业务之前，基金管理人应函告基金托管人并就相关事宜进行协商。</w:t>
      </w:r>
    </w:p>
    <w:p w14:paraId="3032DA07"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2、基金托管人将根据基金管理人传送的基金转换数据进行账务处理，具体资金清算和数据传递的时间、程序及托管协议当事人承担的权责按基金管理人届时的公告执行。</w:t>
      </w:r>
    </w:p>
    <w:p w14:paraId="29E2FC96"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sz w:val="24"/>
        </w:rPr>
        <w:t>3、本基金开展基金转换业务应按相关法律法规规定及基金合同的约定进行公告。</w:t>
      </w:r>
    </w:p>
    <w:p w14:paraId="0400C942" w14:textId="356026A9"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lastRenderedPageBreak/>
        <w:t>（</w:t>
      </w:r>
      <w:r w:rsidR="00304AA9">
        <w:rPr>
          <w:rFonts w:ascii="宋体" w:eastAsia="宋体" w:hAnsi="宋体" w:cs="Arial" w:hint="eastAsia"/>
          <w:sz w:val="24"/>
        </w:rPr>
        <w:t>七</w:t>
      </w:r>
      <w:r>
        <w:rPr>
          <w:rFonts w:ascii="宋体" w:eastAsia="宋体" w:hAnsi="宋体" w:cs="Arial" w:hint="eastAsia"/>
          <w:sz w:val="24"/>
        </w:rPr>
        <w:t>）基金现金分红</w:t>
      </w:r>
    </w:p>
    <w:p w14:paraId="2D359662"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t>1、基金管理人确定分红方案通知基金托管人，双方核定后按照《信息披露办法》的规定在规定媒介公告。</w:t>
      </w:r>
    </w:p>
    <w:p w14:paraId="7BD70A49"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t>2、基金托管人和基金管理人对基金分红进行账务处理并核对后，基金管理人向基金托管人发送现金红利的划款指令，基金托管人应及时将资金划入专用账户。</w:t>
      </w:r>
    </w:p>
    <w:p w14:paraId="03B286D0" w14:textId="77777777" w:rsidR="00691EA2" w:rsidRDefault="00F874ED">
      <w:pPr>
        <w:spacing w:line="360" w:lineRule="auto"/>
        <w:ind w:firstLineChars="200" w:firstLine="480"/>
        <w:rPr>
          <w:rFonts w:ascii="宋体" w:eastAsia="宋体" w:hAnsi="宋体" w:cs="Arial"/>
          <w:sz w:val="24"/>
        </w:rPr>
      </w:pPr>
      <w:r>
        <w:rPr>
          <w:rFonts w:ascii="宋体" w:eastAsia="宋体" w:hAnsi="宋体" w:cs="Arial" w:hint="eastAsia"/>
          <w:sz w:val="24"/>
        </w:rPr>
        <w:t>3、基金管理人在下达指令时，应给基金托管人留出必需的划款时间。</w:t>
      </w:r>
    </w:p>
    <w:p w14:paraId="72EA8970" w14:textId="5E3AAC69"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hint="eastAsia"/>
          <w:sz w:val="24"/>
        </w:rPr>
        <w:t>（</w:t>
      </w:r>
      <w:r w:rsidR="00304AA9">
        <w:rPr>
          <w:rFonts w:ascii="宋体" w:eastAsia="宋体" w:hAnsi="宋体" w:cs="Arial" w:hint="eastAsia"/>
          <w:sz w:val="24"/>
        </w:rPr>
        <w:t>八</w:t>
      </w:r>
      <w:r w:rsidRPr="00EB6B3F">
        <w:rPr>
          <w:rFonts w:ascii="宋体" w:eastAsia="宋体" w:hAnsi="宋体" w:cs="Arial" w:hint="eastAsia"/>
          <w:sz w:val="24"/>
        </w:rPr>
        <w:t>）投资银行存款的特别约定</w:t>
      </w:r>
    </w:p>
    <w:p w14:paraId="2AA79084" w14:textId="77777777"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sz w:val="24"/>
        </w:rPr>
        <w:t>1.本基金投资银行存款前，基金管理人应与存款银行签订具体存款协议，包括但不限于以下内容：。</w:t>
      </w:r>
    </w:p>
    <w:p w14:paraId="795FD11F" w14:textId="77777777"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hint="eastAsia"/>
          <w:sz w:val="24"/>
        </w:rPr>
        <w:t>（</w:t>
      </w:r>
      <w:r w:rsidRPr="00EB6B3F">
        <w:rPr>
          <w:rFonts w:ascii="宋体" w:eastAsia="宋体" w:hAnsi="宋体" w:cs="Arial"/>
          <w:sz w:val="24"/>
        </w:rPr>
        <w:t>1）存款账户必须以本基金名义开立,并将基金托管人为本基金开立的基金托管资金账户指定为唯一回款账户，任何情况下，存款银行都不得将存款投资本息划往任何其他账户。</w:t>
      </w:r>
    </w:p>
    <w:p w14:paraId="6BE682CD" w14:textId="77777777"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hint="eastAsia"/>
          <w:sz w:val="24"/>
        </w:rPr>
        <w:t>（</w:t>
      </w:r>
      <w:r w:rsidRPr="00EB6B3F">
        <w:rPr>
          <w:rFonts w:ascii="宋体" w:eastAsia="宋体" w:hAnsi="宋体" w:cs="Arial"/>
          <w:sz w:val="24"/>
        </w:rPr>
        <w:t>2）存款银行不得接受基金管理人或基金托管人任何一方单方面提出的对存款进行更名、转让、挂失、质押、担保、撤销、变更印鉴及回款账户信息等可能导致财产转移的操作申请。</w:t>
      </w:r>
    </w:p>
    <w:p w14:paraId="0534EC16" w14:textId="77777777"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hint="eastAsia"/>
          <w:sz w:val="24"/>
        </w:rPr>
        <w:t>（</w:t>
      </w:r>
      <w:r w:rsidRPr="00EB6B3F">
        <w:rPr>
          <w:rFonts w:ascii="宋体" w:eastAsia="宋体" w:hAnsi="宋体" w:cs="Arial"/>
          <w:sz w:val="24"/>
        </w:rPr>
        <w:t>3）约定存款证实书的具体传递交接方式及交接期限。</w:t>
      </w:r>
    </w:p>
    <w:p w14:paraId="5A51B3F9" w14:textId="77777777" w:rsidR="008351D0" w:rsidRPr="00EB6B3F" w:rsidRDefault="008351D0" w:rsidP="00EB6B3F">
      <w:pPr>
        <w:spacing w:line="360" w:lineRule="auto"/>
        <w:ind w:firstLine="480"/>
        <w:rPr>
          <w:rFonts w:ascii="宋体" w:eastAsia="宋体" w:hAnsi="宋体" w:cs="Arial"/>
          <w:sz w:val="24"/>
        </w:rPr>
      </w:pPr>
      <w:r w:rsidRPr="00EB6B3F">
        <w:rPr>
          <w:rFonts w:ascii="宋体" w:eastAsia="宋体" w:hAnsi="宋体" w:cs="Arial" w:hint="eastAsia"/>
          <w:sz w:val="24"/>
        </w:rPr>
        <w:t>（</w:t>
      </w:r>
      <w:r w:rsidRPr="00EB6B3F">
        <w:rPr>
          <w:rFonts w:ascii="宋体" w:eastAsia="宋体" w:hAnsi="宋体" w:cs="Arial"/>
          <w:sz w:val="24"/>
        </w:rPr>
        <w:t>4）资金划转过程中需要使用存款银行过渡账户的，存款银行须保证资金在过渡账户中不出现滞留，不被挪用。</w:t>
      </w:r>
    </w:p>
    <w:p w14:paraId="0B724934" w14:textId="77777777" w:rsidR="008351D0" w:rsidRPr="00EB6B3F" w:rsidRDefault="008351D0" w:rsidP="00EB6B3F">
      <w:pPr>
        <w:adjustRightInd w:val="0"/>
        <w:snapToGrid w:val="0"/>
        <w:spacing w:line="360" w:lineRule="auto"/>
        <w:ind w:firstLineChars="200" w:firstLine="480"/>
        <w:rPr>
          <w:rFonts w:ascii="宋体" w:eastAsia="宋体" w:hAnsi="宋体" w:cs="Arial"/>
          <w:sz w:val="24"/>
        </w:rPr>
      </w:pPr>
      <w:r w:rsidRPr="00EB6B3F">
        <w:rPr>
          <w:rFonts w:ascii="宋体" w:eastAsia="宋体" w:hAnsi="宋体" w:cs="Arial"/>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A6EF907" w14:textId="77777777" w:rsidR="008351D0" w:rsidRPr="00EB6B3F" w:rsidRDefault="008351D0" w:rsidP="00EB6B3F">
      <w:pPr>
        <w:adjustRightInd w:val="0"/>
        <w:snapToGrid w:val="0"/>
        <w:spacing w:line="360" w:lineRule="auto"/>
        <w:ind w:firstLineChars="200" w:firstLine="480"/>
        <w:rPr>
          <w:rFonts w:ascii="宋体" w:eastAsia="宋体" w:hAnsi="宋体" w:cs="Arial"/>
          <w:sz w:val="24"/>
        </w:rPr>
      </w:pPr>
      <w:r w:rsidRPr="00EB6B3F">
        <w:rPr>
          <w:rFonts w:ascii="宋体" w:eastAsia="宋体" w:hAnsi="宋体" w:cs="Arial"/>
          <w:sz w:val="24"/>
        </w:rPr>
        <w:t xml:space="preserve">3. </w:t>
      </w:r>
      <w:r w:rsidRPr="00EB6B3F">
        <w:rPr>
          <w:rFonts w:ascii="宋体" w:eastAsia="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4E5450AB" w14:textId="77777777" w:rsidR="008351D0" w:rsidRPr="00EB6B3F" w:rsidRDefault="008351D0" w:rsidP="00EB6B3F">
      <w:pPr>
        <w:spacing w:line="360" w:lineRule="auto"/>
        <w:ind w:firstLineChars="200" w:firstLine="480"/>
        <w:rPr>
          <w:rFonts w:ascii="宋体" w:eastAsia="宋体" w:hAnsi="宋体" w:cs="Arial"/>
          <w:sz w:val="24"/>
        </w:rPr>
      </w:pPr>
      <w:r w:rsidRPr="00EB6B3F">
        <w:rPr>
          <w:rFonts w:ascii="宋体" w:eastAsia="宋体" w:hAnsi="宋体" w:cs="Arial"/>
          <w:sz w:val="24"/>
        </w:rPr>
        <w:t>4</w:t>
      </w:r>
      <w:r w:rsidRPr="00EB6B3F">
        <w:rPr>
          <w:rFonts w:ascii="宋体" w:eastAsia="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w:t>
      </w:r>
      <w:r w:rsidRPr="00EB6B3F">
        <w:rPr>
          <w:rFonts w:ascii="宋体" w:eastAsia="宋体" w:hAnsi="宋体" w:cs="Arial" w:hint="eastAsia"/>
          <w:sz w:val="24"/>
        </w:rPr>
        <w:lastRenderedPageBreak/>
        <w:t>施：（</w:t>
      </w:r>
      <w:r w:rsidRPr="00EB6B3F">
        <w:rPr>
          <w:rFonts w:ascii="宋体" w:eastAsia="宋体" w:hAnsi="宋体" w:cs="Arial"/>
          <w:sz w:val="24"/>
        </w:rPr>
        <w:t>1</w:t>
      </w:r>
      <w:r w:rsidRPr="00EB6B3F">
        <w:rPr>
          <w:rFonts w:ascii="宋体" w:eastAsia="宋体" w:hAnsi="宋体" w:cs="Arial" w:hint="eastAsia"/>
          <w:sz w:val="24"/>
        </w:rPr>
        <w:t>）建立风险预警机制，对于实物凭证未送达集中度较高的存款银行，主动发函管理人尽量避免在此类银行进行存款投资；（</w:t>
      </w:r>
      <w:r w:rsidRPr="00EB6B3F">
        <w:rPr>
          <w:rFonts w:ascii="宋体" w:eastAsia="宋体" w:hAnsi="宋体" w:cs="Arial"/>
          <w:sz w:val="24"/>
        </w:rPr>
        <w:t>2</w:t>
      </w:r>
      <w:r w:rsidRPr="00EB6B3F">
        <w:rPr>
          <w:rFonts w:ascii="宋体" w:eastAsia="宋体" w:hAnsi="宋体" w:cs="Arial" w:hint="eastAsia"/>
          <w:sz w:val="24"/>
        </w:rPr>
        <w:t>）在定期报告中，对未按约定送达基金托管人保管的实物凭证信息进行规定范围信息披露；（</w:t>
      </w:r>
      <w:r w:rsidRPr="00EB6B3F">
        <w:rPr>
          <w:rFonts w:ascii="宋体" w:eastAsia="宋体" w:hAnsi="宋体" w:cs="Arial"/>
          <w:sz w:val="24"/>
        </w:rPr>
        <w:t>3</w:t>
      </w:r>
      <w:r w:rsidRPr="00EB6B3F">
        <w:rPr>
          <w:rFonts w:ascii="宋体" w:eastAsia="宋体" w:hAnsi="宋体" w:cs="Arial" w:hint="eastAsia"/>
          <w:sz w:val="24"/>
        </w:rPr>
        <w:t>）未送达实物凭证超过送单截止日后</w:t>
      </w:r>
      <w:r w:rsidRPr="00EB6B3F">
        <w:rPr>
          <w:rFonts w:ascii="宋体" w:eastAsia="宋体" w:hAnsi="宋体" w:cs="Arial"/>
          <w:sz w:val="24"/>
        </w:rPr>
        <w:t>30</w:t>
      </w:r>
      <w:r w:rsidRPr="00EB6B3F">
        <w:rPr>
          <w:rFonts w:ascii="宋体" w:eastAsia="宋体" w:hAnsi="宋体" w:cs="Arial" w:hint="eastAsia"/>
          <w:sz w:val="24"/>
        </w:rPr>
        <w:t>个工作日，且累计超过</w:t>
      </w:r>
      <w:r w:rsidRPr="00EB6B3F">
        <w:rPr>
          <w:rFonts w:ascii="宋体" w:eastAsia="宋体" w:hAnsi="宋体" w:cs="Arial"/>
          <w:sz w:val="24"/>
        </w:rPr>
        <w:t>3</w:t>
      </w:r>
      <w:r w:rsidRPr="00EB6B3F">
        <w:rPr>
          <w:rFonts w:ascii="宋体" w:eastAsia="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5EE7243A" w14:textId="77777777" w:rsidR="00691EA2" w:rsidRDefault="00691EA2">
      <w:pPr>
        <w:widowControl/>
        <w:jc w:val="left"/>
        <w:rPr>
          <w:rFonts w:ascii="宋体" w:eastAsia="宋体" w:hAnsi="宋体" w:cs="Arial"/>
          <w:sz w:val="24"/>
          <w:szCs w:val="24"/>
        </w:rPr>
      </w:pPr>
    </w:p>
    <w:p w14:paraId="6465A49A" w14:textId="77777777" w:rsidR="00691EA2" w:rsidRDefault="00691EA2">
      <w:pPr>
        <w:pStyle w:val="a0"/>
        <w:spacing w:line="400" w:lineRule="exact"/>
        <w:rPr>
          <w:rFonts w:ascii="宋体" w:hAnsi="宋体"/>
        </w:rPr>
      </w:pPr>
    </w:p>
    <w:p w14:paraId="2A68987D" w14:textId="77777777" w:rsidR="00691EA2" w:rsidRDefault="00F874ED">
      <w:pPr>
        <w:pStyle w:val="2"/>
        <w:spacing w:line="400" w:lineRule="exact"/>
        <w:jc w:val="center"/>
        <w:rPr>
          <w:rFonts w:ascii="宋体" w:eastAsia="宋体" w:hAnsi="宋体"/>
          <w:sz w:val="30"/>
        </w:rPr>
      </w:pPr>
      <w:bookmarkStart w:id="92" w:name="_Toc124325892"/>
      <w:r>
        <w:rPr>
          <w:rFonts w:ascii="宋体" w:eastAsia="宋体" w:hAnsi="宋体" w:hint="eastAsia"/>
          <w:sz w:val="30"/>
        </w:rPr>
        <w:t>八、基金资产净值计算和会计核算</w:t>
      </w:r>
      <w:bookmarkEnd w:id="92"/>
    </w:p>
    <w:p w14:paraId="09AEC682"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（一）基金资产净值的计算、复核与完成的时间及程序</w:t>
      </w:r>
    </w:p>
    <w:p w14:paraId="11022D90"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1.基金资产净值是指基金资产总值减去基金负债后的价值。各类基金份额净值是按照每个估值日闭市后，该类基金份额的基金资产净值除以当日该类基金份额的余额数量计算，两类基金份额净值均精确到0.00</w:t>
      </w:r>
      <w:r>
        <w:rPr>
          <w:rFonts w:ascii="宋体" w:eastAsia="宋体" w:hAnsi="宋体" w:cs="Arial"/>
          <w:sz w:val="24"/>
        </w:rPr>
        <w:t>0</w:t>
      </w:r>
      <w:r>
        <w:rPr>
          <w:rFonts w:ascii="宋体" w:eastAsia="宋体" w:hAnsi="宋体" w:cs="Arial" w:hint="eastAsia"/>
          <w:sz w:val="24"/>
        </w:rPr>
        <w:t>1元，小数点后第5位四舍五入。基金管理人可以设立大额赎回情形下的净值精度应急调整机制。国家法律法规另有规定的，从其规定。</w:t>
      </w:r>
    </w:p>
    <w:p w14:paraId="1B9AB9F7"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基金管理人应每个</w:t>
      </w:r>
      <w:r>
        <w:rPr>
          <w:rFonts w:ascii="宋体" w:eastAsia="宋体" w:hAnsi="宋体" w:cs="Arial"/>
          <w:sz w:val="24"/>
        </w:rPr>
        <w:t>估值</w:t>
      </w:r>
      <w:r>
        <w:rPr>
          <w:rFonts w:ascii="宋体" w:eastAsia="宋体" w:hAnsi="宋体" w:cs="Arial" w:hint="eastAsia"/>
          <w:sz w:val="24"/>
        </w:rPr>
        <w:t>日计算基金资产净值及各类基金份额的基金份额净值，并按规定进行公告。</w:t>
      </w:r>
    </w:p>
    <w:p w14:paraId="19DD0B9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2.基金管理人应每个估值日对基金资产估值。但基金管理人根据法律法规或</w:t>
      </w:r>
      <w:bookmarkStart w:id="93" w:name="_Hlk163670815"/>
      <w:r>
        <w:rPr>
          <w:rFonts w:ascii="宋体" w:eastAsia="宋体" w:hAnsi="宋体" w:cs="Arial" w:hint="eastAsia"/>
          <w:sz w:val="24"/>
        </w:rPr>
        <w:t>基金合同的规定暂停估值时除外。基金管理人每个估值日对基金资产估值后，将各类基金份额的基金份额净值结果发送基金托管人，经基金托管人复核无误后，由基金管理人按约定对外公布</w:t>
      </w:r>
      <w:bookmarkEnd w:id="93"/>
      <w:r>
        <w:rPr>
          <w:rFonts w:ascii="宋体" w:eastAsia="宋体" w:hAnsi="宋体" w:cs="Arial" w:hint="eastAsia"/>
          <w:sz w:val="24"/>
        </w:rPr>
        <w:t>。</w:t>
      </w:r>
    </w:p>
    <w:p w14:paraId="5012E8BD" w14:textId="77777777" w:rsidR="00691EA2" w:rsidRDefault="00F874ED">
      <w:pPr>
        <w:spacing w:line="400" w:lineRule="exact"/>
        <w:ind w:firstLineChars="200" w:firstLine="480"/>
        <w:rPr>
          <w:rFonts w:ascii="宋体" w:eastAsia="宋体" w:hAnsi="宋体" w:cs="Arial"/>
          <w:sz w:val="24"/>
        </w:rPr>
      </w:pPr>
      <w:r>
        <w:rPr>
          <w:rFonts w:ascii="宋体" w:eastAsia="宋体" w:hAnsi="宋体" w:cs="Arial" w:hint="eastAsia"/>
          <w:sz w:val="24"/>
        </w:rPr>
        <w:t>（二）基金资产估值方法和特殊情形的处理</w:t>
      </w:r>
    </w:p>
    <w:p w14:paraId="007773AE" w14:textId="77777777" w:rsidR="00691EA2" w:rsidRDefault="00F874ED">
      <w:pPr>
        <w:adjustRightInd w:val="0"/>
        <w:snapToGrid w:val="0"/>
        <w:spacing w:line="400" w:lineRule="exact"/>
        <w:ind w:firstLineChars="200" w:firstLine="480"/>
        <w:rPr>
          <w:rFonts w:ascii="宋体" w:eastAsia="宋体" w:hAnsi="宋体" w:cs="Arial"/>
          <w:sz w:val="24"/>
        </w:rPr>
      </w:pPr>
      <w:bookmarkStart w:id="94" w:name="_Hlk163670853"/>
      <w:r>
        <w:rPr>
          <w:rFonts w:ascii="宋体" w:eastAsia="宋体" w:hAnsi="宋体" w:cs="Arial" w:hint="eastAsia"/>
          <w:sz w:val="24"/>
        </w:rPr>
        <w:t>1.估值对象</w:t>
      </w:r>
    </w:p>
    <w:p w14:paraId="019D8599" w14:textId="77777777" w:rsidR="00691EA2" w:rsidRDefault="00F874ED">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基金所拥有的股票、债券、股指期货合约、国债期货合约、股票期权合约和银行存款本息、应收款项、其它投资等资产及负债。</w:t>
      </w:r>
    </w:p>
    <w:p w14:paraId="0CBF1B5F" w14:textId="77777777" w:rsidR="00691EA2" w:rsidRDefault="00F874ED">
      <w:pPr>
        <w:adjustRightInd w:val="0"/>
        <w:snapToGrid w:val="0"/>
        <w:spacing w:line="400" w:lineRule="exact"/>
        <w:ind w:firstLineChars="200" w:firstLine="480"/>
        <w:rPr>
          <w:rFonts w:ascii="宋体" w:eastAsia="宋体" w:hAnsi="宋体" w:cs="Arial"/>
          <w:sz w:val="24"/>
        </w:rPr>
      </w:pPr>
      <w:bookmarkStart w:id="95" w:name="_Hlk185513498"/>
      <w:r>
        <w:rPr>
          <w:rFonts w:ascii="宋体" w:eastAsia="宋体" w:hAnsi="宋体" w:cs="Arial" w:hint="eastAsia"/>
          <w:sz w:val="24"/>
        </w:rPr>
        <w:t>2.估值方法</w:t>
      </w:r>
    </w:p>
    <w:p w14:paraId="1A89CF49"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1</w:t>
      </w:r>
      <w:r>
        <w:rPr>
          <w:rFonts w:ascii="宋体" w:eastAsia="宋体" w:hAnsi="宋体" w:cs="Arial" w:hint="eastAsia"/>
          <w:bCs/>
          <w:sz w:val="24"/>
        </w:rPr>
        <w:t>）已上市的有价证券的估值</w:t>
      </w:r>
    </w:p>
    <w:p w14:paraId="33E1F574"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1</w:t>
      </w:r>
      <w:r>
        <w:rPr>
          <w:rFonts w:ascii="宋体" w:eastAsia="宋体" w:hAnsi="宋体" w:cs="Arial"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w:t>
      </w:r>
      <w:r>
        <w:rPr>
          <w:rFonts w:ascii="宋体" w:eastAsia="宋体" w:hAnsi="宋体" w:cs="Arial" w:hint="eastAsia"/>
          <w:bCs/>
          <w:sz w:val="24"/>
        </w:rPr>
        <w:lastRenderedPageBreak/>
        <w:t>证券价格的重大事件的，可参考类似投资品种的现行市价及重大变化因素，调整最近交易市价，确定公允价格；</w:t>
      </w:r>
    </w:p>
    <w:p w14:paraId="7E9241BC"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2</w:t>
      </w:r>
      <w:r>
        <w:rPr>
          <w:rFonts w:ascii="宋体" w:eastAsia="宋体" w:hAnsi="宋体" w:cs="Arial" w:hint="eastAsia"/>
          <w:bCs/>
          <w:sz w:val="24"/>
        </w:rPr>
        <w:t>）对于已上市或已挂牌转让的不含权固定收益品种，选取第三方估值基准服务机构提供的相应品种当日的估值全价进行估值；</w:t>
      </w:r>
    </w:p>
    <w:p w14:paraId="4BF0C2A5"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3</w:t>
      </w:r>
      <w:r>
        <w:rPr>
          <w:rFonts w:ascii="宋体" w:eastAsia="宋体" w:hAnsi="宋体" w:cs="Arial" w:hint="eastAsia"/>
          <w:bCs/>
          <w:sz w:val="24"/>
        </w:rPr>
        <w:t>）对于已上市或已挂牌转让的含权固定收益品种（含转股权的债券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E68010A"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4</w:t>
      </w:r>
      <w:r>
        <w:rPr>
          <w:rFonts w:ascii="宋体" w:eastAsia="宋体" w:hAnsi="宋体" w:cs="Arial"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6FCD951"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2</w:t>
      </w:r>
      <w:r>
        <w:rPr>
          <w:rFonts w:ascii="宋体" w:eastAsia="宋体" w:hAnsi="宋体" w:cs="Arial" w:hint="eastAsia"/>
          <w:bCs/>
          <w:sz w:val="24"/>
        </w:rPr>
        <w:t>）处于未上市期间的有价证券应区分如下情况处理：</w:t>
      </w:r>
    </w:p>
    <w:p w14:paraId="4D29B57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1</w:t>
      </w:r>
      <w:r>
        <w:rPr>
          <w:rFonts w:ascii="宋体" w:eastAsia="宋体" w:hAnsi="宋体" w:cs="Arial" w:hint="eastAsia"/>
          <w:bCs/>
          <w:sz w:val="24"/>
        </w:rPr>
        <w:t>）送股、转增股、配股和公开增发的新股，按估值日在证券交易所挂牌的同一股票的估值方法估值；该日无交易的，以最近一日的市价（收盘价）估值。</w:t>
      </w:r>
    </w:p>
    <w:p w14:paraId="54247E09" w14:textId="7043D05C"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2</w:t>
      </w:r>
      <w:r>
        <w:rPr>
          <w:rFonts w:ascii="宋体" w:eastAsia="宋体" w:hAnsi="宋体" w:cs="Arial" w:hint="eastAsia"/>
          <w:bCs/>
          <w:sz w:val="24"/>
        </w:rPr>
        <w:t>）首次公开发行未上市的股票，采用估值技术确定公允价值。</w:t>
      </w:r>
    </w:p>
    <w:p w14:paraId="17040241"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3</w:t>
      </w:r>
      <w:r>
        <w:rPr>
          <w:rFonts w:ascii="宋体" w:eastAsia="宋体" w:hAnsi="宋体" w:cs="Arial" w:hint="eastAsia"/>
          <w:bCs/>
          <w:sz w:val="24"/>
        </w:rPr>
        <w:t>）对未上市或未挂牌转让的固定收益品种，对存在活跃市场的情况下，应以活跃市场上未经调整的报价作为估值日的公允价值；对于活跃市场报价未能代表估值日公允价值的情况下，应对市场报价进行调整以确认估值日的公允价值；对于不存在活跃市场的情况下，应采用当前情况下适用并且有足够可利用数据和其他信息支持的估值技术确定其公允价值。</w:t>
      </w:r>
    </w:p>
    <w:p w14:paraId="0FD72912"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4</w:t>
      </w:r>
      <w:r>
        <w:rPr>
          <w:rFonts w:ascii="宋体" w:eastAsia="宋体" w:hAnsi="宋体" w:cs="Arial" w:hint="eastAsia"/>
          <w:bCs/>
          <w:sz w:val="24"/>
        </w:rPr>
        <w:t>）流通受限股票，包括非公开发行股票、首次公开发行股票时公司股东公开发售股份、通过大宗交易取得的带限售期的股票等，按监管机构或行业协会有关规定确定公允价值。</w:t>
      </w:r>
    </w:p>
    <w:p w14:paraId="4C4F4685"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3</w:t>
      </w:r>
      <w:r>
        <w:rPr>
          <w:rFonts w:ascii="宋体" w:eastAsia="宋体" w:hAnsi="宋体" w:cs="Arial" w:hint="eastAsia"/>
          <w:bCs/>
          <w:sz w:val="24"/>
        </w:rPr>
        <w:t>）同一债券或股票同时在两个或两个以上市场交易的，按债券或股票所处的市场分别估值。</w:t>
      </w:r>
    </w:p>
    <w:p w14:paraId="185131E3"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4</w:t>
      </w:r>
      <w:r>
        <w:rPr>
          <w:rFonts w:ascii="宋体" w:eastAsia="宋体" w:hAnsi="宋体" w:cs="Arial" w:hint="eastAsia"/>
          <w:bCs/>
          <w:sz w:val="24"/>
        </w:rPr>
        <w:t>）投资证券衍生品的估值方法</w:t>
      </w:r>
    </w:p>
    <w:p w14:paraId="7DF39592" w14:textId="749D46BD"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1</w:t>
      </w:r>
      <w:r>
        <w:rPr>
          <w:rFonts w:ascii="宋体" w:eastAsia="宋体" w:hAnsi="宋体" w:cs="Arial" w:hint="eastAsia"/>
          <w:bCs/>
          <w:sz w:val="24"/>
        </w:rPr>
        <w:t>）因持有股票而享有的配股权，采用估值技术确定公允价值进行估值。</w:t>
      </w:r>
    </w:p>
    <w:p w14:paraId="04BE0684"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2</w:t>
      </w:r>
      <w:r>
        <w:rPr>
          <w:rFonts w:ascii="宋体" w:eastAsia="宋体" w:hAnsi="宋体" w:cs="Arial" w:hint="eastAsia"/>
          <w:bCs/>
          <w:sz w:val="24"/>
        </w:rPr>
        <w:t>）股指期货合约以估值日金融期货交易所的当日结算价估值，该日无交易的，以最近一日的结算价估值。</w:t>
      </w:r>
    </w:p>
    <w:p w14:paraId="090CAED4"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3</w:t>
      </w:r>
      <w:r>
        <w:rPr>
          <w:rFonts w:ascii="宋体" w:eastAsia="宋体" w:hAnsi="宋体" w:cs="Arial" w:hint="eastAsia"/>
          <w:bCs/>
          <w:sz w:val="24"/>
        </w:rPr>
        <w:t>）国债期货合约，一般以估值当日结算价进行估值，估值当日无结算价的，且最近交易日后经济环境未发生重大变化的，采用最近交易日结算价估值。</w:t>
      </w:r>
    </w:p>
    <w:p w14:paraId="469BA952" w14:textId="019DAF00"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4</w:t>
      </w:r>
      <w:r>
        <w:rPr>
          <w:rFonts w:ascii="宋体" w:eastAsia="宋体" w:hAnsi="宋体" w:cs="Arial" w:hint="eastAsia"/>
          <w:bCs/>
          <w:sz w:val="24"/>
        </w:rPr>
        <w:t>）股票期权合约</w:t>
      </w:r>
      <w:r w:rsidR="00EB4887" w:rsidRPr="00EB6B3F">
        <w:rPr>
          <w:rFonts w:ascii="宋体" w:eastAsia="宋体" w:hAnsi="宋体" w:cs="Arial" w:hint="eastAsia"/>
          <w:bCs/>
          <w:sz w:val="24"/>
        </w:rPr>
        <w:t>，根据相关法律法规以及监管部门的规定估值。</w:t>
      </w:r>
    </w:p>
    <w:p w14:paraId="5CBB925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lastRenderedPageBreak/>
        <w:t>（</w:t>
      </w:r>
      <w:r>
        <w:rPr>
          <w:rFonts w:ascii="宋体" w:eastAsia="宋体" w:hAnsi="宋体" w:cs="Arial"/>
          <w:bCs/>
          <w:sz w:val="24"/>
        </w:rPr>
        <w:t>5</w:t>
      </w:r>
      <w:r>
        <w:rPr>
          <w:rFonts w:ascii="宋体" w:eastAsia="宋体" w:hAnsi="宋体" w:cs="Arial" w:hint="eastAsia"/>
          <w:bCs/>
          <w:sz w:val="24"/>
        </w:rPr>
        <w:t>）存款的估值方法</w:t>
      </w:r>
    </w:p>
    <w:p w14:paraId="22EB095A"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持有的银行定期存款或通知存款以本金列示，按协议或合同利率逐日确认利息收入。如提前支取或利率发生变化，基金管理人及时进行账务调整。</w:t>
      </w:r>
    </w:p>
    <w:p w14:paraId="2DD27612"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（6）当发生大额申购或赎回情形时，可以采用摆动定价机制，以确保基金估值的公平性。</w:t>
      </w:r>
    </w:p>
    <w:p w14:paraId="7E08691A"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（7）本基金投资存托凭证的估值核算，依照境内上市交易的股票执行。</w:t>
      </w:r>
    </w:p>
    <w:p w14:paraId="23B4FF1C"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（8）</w:t>
      </w:r>
      <w:r>
        <w:rPr>
          <w:rFonts w:ascii="宋体" w:eastAsia="宋体" w:hAnsi="宋体" w:cs="Arial"/>
          <w:bCs/>
          <w:sz w:val="24"/>
        </w:rPr>
        <w:t>基金参与</w:t>
      </w:r>
      <w:r w:rsidR="00EB4887">
        <w:rPr>
          <w:rFonts w:ascii="宋体" w:eastAsia="宋体" w:hAnsi="宋体" w:cs="Arial"/>
          <w:bCs/>
          <w:sz w:val="24"/>
        </w:rPr>
        <w:t>融资及</w:t>
      </w:r>
      <w:r>
        <w:rPr>
          <w:rFonts w:ascii="宋体" w:eastAsia="宋体" w:hAnsi="宋体" w:cs="Arial"/>
          <w:bCs/>
          <w:sz w:val="24"/>
        </w:rPr>
        <w:t>转融通证券出借业务的，应参照相关法律法规和中国证券投资</w:t>
      </w:r>
      <w:r>
        <w:rPr>
          <w:rFonts w:ascii="宋体" w:eastAsia="宋体" w:hAnsi="宋体" w:cs="Arial" w:hint="eastAsia"/>
          <w:bCs/>
          <w:sz w:val="24"/>
        </w:rPr>
        <w:t>基金业协会发布的相关规定进行估值，确保估值的公允性。</w:t>
      </w:r>
    </w:p>
    <w:p w14:paraId="71ABA7F7"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（9）</w:t>
      </w:r>
      <w:r>
        <w:rPr>
          <w:rFonts w:ascii="宋体" w:eastAsia="宋体" w:hAnsi="宋体" w:cs="Arial"/>
          <w:bCs/>
          <w:sz w:val="24"/>
        </w:rPr>
        <w:t xml:space="preserve">在基金估值日，港股通投资的股票按其在港交所的收盘价估值；估值日 无交易的，以最近交易日的收盘价估值。 </w:t>
      </w:r>
    </w:p>
    <w:p w14:paraId="6157A3EB" w14:textId="30DCC4C8"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 xml:space="preserve">在基金估值日，港股通投资持有外币证券资产估值涉及到港币对人民币汇率 的，可参考当日中国人民银行或其授权机构公布的人民币汇率中间价。 </w:t>
      </w:r>
    </w:p>
    <w:p w14:paraId="5CB58B99" w14:textId="44B2EF02"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若本基金现行估值汇率不再发布或发生重大变更，或市场上出现更为公允、更适合本基金的估值汇率时，基金管理人与基金托管人协商一致后可根据实际情 况调整本基金的估值汇率，并及时报中国证监会备案，无需召开基金份额持有人 大会。</w:t>
      </w:r>
    </w:p>
    <w:p w14:paraId="3BB9509D" w14:textId="77777777" w:rsidR="00EB4887" w:rsidRPr="00EB6B3F" w:rsidRDefault="00EB4887" w:rsidP="00EB4887">
      <w:pPr>
        <w:spacing w:line="360" w:lineRule="auto"/>
        <w:ind w:firstLineChars="200" w:firstLine="480"/>
        <w:rPr>
          <w:rFonts w:ascii="宋体" w:eastAsia="宋体" w:hAnsi="宋体" w:cs="Arial"/>
          <w:bCs/>
          <w:sz w:val="24"/>
        </w:rPr>
      </w:pPr>
      <w:r w:rsidRPr="00EB6B3F">
        <w:rPr>
          <w:rFonts w:ascii="宋体" w:eastAsia="宋体" w:hAnsi="宋体" w:cs="Arial"/>
          <w:bCs/>
          <w:sz w:val="24"/>
        </w:rPr>
        <w:t>税收：对于按照中国法律法规和基金投资境内外股票市场交易互联互通机制涉及的境外交易场所所在地的法律法规规定应交纳的各项税金，本基金将按权责 发生制原则进行估值；对于因税收规定调整或其他原因导致基金实际交纳税金与 估算的应交税金有差异的，基金将在相关税金调整日或实际支付日进行相应的估 值调整。</w:t>
      </w:r>
    </w:p>
    <w:p w14:paraId="4F565D51"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10</w:t>
      </w:r>
      <w:r>
        <w:rPr>
          <w:rFonts w:ascii="宋体" w:eastAsia="宋体" w:hAnsi="宋体" w:cs="Arial" w:hint="eastAsia"/>
          <w:bCs/>
          <w:sz w:val="24"/>
        </w:rPr>
        <w:t>）如有确凿证据表明按上述方法进行估值不能客观反映其公允价值的，基金管理人可根据具体情况与基金托管人商定后，按最能反映公允价值的价格估值。</w:t>
      </w:r>
    </w:p>
    <w:p w14:paraId="3F46D4CD"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w:t>
      </w:r>
      <w:r>
        <w:rPr>
          <w:rFonts w:ascii="宋体" w:eastAsia="宋体" w:hAnsi="宋体" w:cs="Arial"/>
          <w:bCs/>
          <w:sz w:val="24"/>
        </w:rPr>
        <w:t>11</w:t>
      </w:r>
      <w:r>
        <w:rPr>
          <w:rFonts w:ascii="宋体" w:eastAsia="宋体" w:hAnsi="宋体" w:cs="Arial" w:hint="eastAsia"/>
          <w:bCs/>
          <w:sz w:val="24"/>
        </w:rPr>
        <w:t>）相关法律法规以及监管部门有强制规定的，从其规定。如有新增事项，按国家最新规定估值。</w:t>
      </w:r>
    </w:p>
    <w:bookmarkEnd w:id="95"/>
    <w:p w14:paraId="1B5E974A"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6DEAB0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宋体" w:eastAsia="宋体" w:hAnsi="宋体" w:cs="Arial" w:hint="eastAsia"/>
          <w:bCs/>
          <w:sz w:val="24"/>
        </w:rPr>
        <w:t>基金管理人向基金托管人出具盖章的书面说明后，</w:t>
      </w:r>
      <w:r>
        <w:rPr>
          <w:rFonts w:ascii="宋体" w:eastAsia="宋体" w:hAnsi="宋体" w:cs="Arial"/>
          <w:bCs/>
          <w:sz w:val="24"/>
        </w:rPr>
        <w:t>按照</w:t>
      </w:r>
      <w:r>
        <w:rPr>
          <w:rFonts w:ascii="宋体" w:eastAsia="宋体" w:hAnsi="宋体" w:cs="Arial" w:hint="eastAsia"/>
          <w:bCs/>
          <w:sz w:val="24"/>
        </w:rPr>
        <w:t>基金管理人对基金净值信息的计算结果对外予以公布。</w:t>
      </w:r>
    </w:p>
    <w:p w14:paraId="77550243" w14:textId="77777777" w:rsidR="00691EA2" w:rsidRDefault="00F874ED">
      <w:pPr>
        <w:adjustRightInd w:val="0"/>
        <w:snapToGrid w:val="0"/>
        <w:spacing w:line="400" w:lineRule="exact"/>
        <w:ind w:firstLine="480"/>
        <w:rPr>
          <w:rStyle w:val="read"/>
          <w:rFonts w:ascii="宋体" w:eastAsia="宋体" w:hAnsi="宋体" w:cs="Arial"/>
          <w:sz w:val="24"/>
        </w:rPr>
      </w:pPr>
      <w:r>
        <w:rPr>
          <w:rStyle w:val="read"/>
          <w:rFonts w:ascii="宋体" w:eastAsia="宋体" w:hAnsi="宋体" w:cs="Arial" w:hint="eastAsia"/>
          <w:sz w:val="24"/>
        </w:rPr>
        <w:lastRenderedPageBreak/>
        <w:t>3.特殊情形的处理</w:t>
      </w:r>
    </w:p>
    <w:p w14:paraId="1344BDCD" w14:textId="77777777" w:rsidR="00691EA2" w:rsidRDefault="00F874ED">
      <w:pPr>
        <w:adjustRightInd w:val="0"/>
        <w:snapToGrid w:val="0"/>
        <w:spacing w:line="400" w:lineRule="exact"/>
        <w:ind w:firstLineChars="200" w:firstLine="480"/>
        <w:rPr>
          <w:rStyle w:val="read"/>
          <w:rFonts w:ascii="宋体" w:eastAsia="宋体" w:hAnsi="宋体"/>
          <w:sz w:val="24"/>
        </w:rPr>
      </w:pPr>
      <w:r>
        <w:rPr>
          <w:rStyle w:val="read"/>
          <w:rFonts w:ascii="宋体" w:eastAsia="宋体" w:hAnsi="宋体" w:cs="Arial" w:hint="eastAsia"/>
          <w:sz w:val="24"/>
        </w:rPr>
        <w:t>基金管理人或基金托管人按估值方法的第（10）项进行估值时，所造成的误差不作为基金资产估值</w:t>
      </w:r>
      <w:r>
        <w:rPr>
          <w:rStyle w:val="read"/>
          <w:rFonts w:ascii="宋体" w:eastAsia="宋体" w:hAnsi="宋体" w:hint="eastAsia"/>
          <w:sz w:val="24"/>
        </w:rPr>
        <w:t>错误处理。</w:t>
      </w:r>
    </w:p>
    <w:p w14:paraId="4F3225E2" w14:textId="1F87F8E5" w:rsidR="00691EA2" w:rsidRDefault="00F874ED">
      <w:pPr>
        <w:adjustRightInd w:val="0"/>
        <w:snapToGrid w:val="0"/>
        <w:spacing w:line="400" w:lineRule="exact"/>
        <w:ind w:firstLineChars="200" w:firstLine="480"/>
        <w:rPr>
          <w:rFonts w:ascii="宋体" w:eastAsia="宋体" w:hAnsi="宋体"/>
          <w:sz w:val="24"/>
        </w:rPr>
      </w:pPr>
      <w:r>
        <w:rPr>
          <w:rFonts w:ascii="宋体" w:eastAsia="宋体" w:hAnsi="宋体"/>
          <w:bCs/>
          <w:sz w:val="24"/>
        </w:rPr>
        <w:t>由于不可抗力，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Pr>
          <w:rFonts w:ascii="宋体" w:eastAsia="宋体" w:hAnsi="宋体" w:hint="eastAsia"/>
          <w:sz w:val="24"/>
        </w:rPr>
        <w:t>。</w:t>
      </w:r>
    </w:p>
    <w:bookmarkEnd w:id="94"/>
    <w:p w14:paraId="51E422B9" w14:textId="77777777" w:rsidR="00691EA2" w:rsidRDefault="00F874ED">
      <w:pPr>
        <w:adjustRightInd w:val="0"/>
        <w:snapToGrid w:val="0"/>
        <w:spacing w:line="400" w:lineRule="exact"/>
        <w:ind w:firstLineChars="200" w:firstLine="480"/>
        <w:rPr>
          <w:rStyle w:val="read"/>
          <w:rFonts w:ascii="宋体" w:eastAsia="宋体" w:hAnsi="宋体"/>
          <w:sz w:val="24"/>
        </w:rPr>
      </w:pPr>
      <w:r>
        <w:rPr>
          <w:rStyle w:val="read"/>
          <w:rFonts w:ascii="宋体" w:eastAsia="宋体" w:hAnsi="宋体" w:hint="eastAsia"/>
          <w:sz w:val="24"/>
        </w:rPr>
        <w:t>（三）基金份额净值错误的处理方式</w:t>
      </w:r>
    </w:p>
    <w:p w14:paraId="3814E1F5" w14:textId="77777777" w:rsidR="00691EA2" w:rsidRDefault="00F874ED">
      <w:pPr>
        <w:adjustRightInd w:val="0"/>
        <w:snapToGrid w:val="0"/>
        <w:spacing w:line="400" w:lineRule="exact"/>
        <w:ind w:firstLineChars="200" w:firstLine="480"/>
        <w:rPr>
          <w:rStyle w:val="read"/>
          <w:rFonts w:ascii="宋体" w:eastAsia="宋体" w:hAnsi="宋体"/>
          <w:sz w:val="24"/>
        </w:rPr>
      </w:pPr>
      <w:r>
        <w:rPr>
          <w:rStyle w:val="read"/>
          <w:rFonts w:ascii="宋体" w:eastAsia="宋体" w:hAnsi="宋体" w:hint="eastAsia"/>
          <w:sz w:val="24"/>
        </w:rPr>
        <w:t>1.当某一类基金份额净值小数点后</w:t>
      </w:r>
      <w:r>
        <w:rPr>
          <w:rStyle w:val="read"/>
          <w:rFonts w:ascii="宋体" w:eastAsia="宋体" w:hAnsi="宋体"/>
          <w:sz w:val="24"/>
        </w:rPr>
        <w:t>4</w:t>
      </w:r>
      <w:r>
        <w:rPr>
          <w:rStyle w:val="read"/>
          <w:rFonts w:ascii="宋体" w:eastAsia="宋体" w:hAnsi="宋体" w:hint="eastAsia"/>
          <w:sz w:val="24"/>
        </w:rPr>
        <w:t>位以内(含第</w:t>
      </w:r>
      <w:r>
        <w:rPr>
          <w:rStyle w:val="read"/>
          <w:rFonts w:ascii="宋体" w:eastAsia="宋体" w:hAnsi="宋体"/>
          <w:sz w:val="24"/>
        </w:rPr>
        <w:t>4</w:t>
      </w:r>
      <w:r>
        <w:rPr>
          <w:rStyle w:val="read"/>
          <w:rFonts w:ascii="宋体" w:eastAsia="宋体" w:hAnsi="宋体" w:hint="eastAsia"/>
          <w:sz w:val="24"/>
        </w:rPr>
        <w:t>位)发生估值错误时，视为该类基金份额净值错误；</w:t>
      </w:r>
      <w:bookmarkStart w:id="96" w:name="_Hlk163671006"/>
      <w:r>
        <w:rPr>
          <w:rStyle w:val="read"/>
          <w:rFonts w:ascii="宋体" w:eastAsia="宋体" w:hAnsi="宋体" w:hint="eastAsia"/>
          <w:sz w:val="24"/>
        </w:rPr>
        <w:t>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宋体" w:eastAsia="宋体" w:hAnsi="宋体" w:cs="Arial" w:hint="eastAsia"/>
          <w:sz w:val="24"/>
        </w:rPr>
        <w:t>；错误偏差达到</w:t>
      </w:r>
      <w:r>
        <w:rPr>
          <w:rStyle w:val="read"/>
          <w:rFonts w:ascii="宋体" w:eastAsia="宋体" w:hAnsi="宋体" w:hint="eastAsia"/>
          <w:sz w:val="24"/>
        </w:rPr>
        <w:t>该类</w:t>
      </w:r>
      <w:r>
        <w:rPr>
          <w:rFonts w:ascii="宋体" w:eastAsia="宋体" w:hAnsi="宋体" w:cs="Arial" w:hint="eastAsia"/>
          <w:sz w:val="24"/>
        </w:rPr>
        <w:t>基金份额净值的</w:t>
      </w:r>
      <w:r>
        <w:rPr>
          <w:rFonts w:ascii="宋体" w:eastAsia="宋体" w:hAnsi="宋体" w:hint="eastAsia"/>
          <w:sz w:val="24"/>
        </w:rPr>
        <w:t>0.5%时，基金管理人应当公告</w:t>
      </w:r>
      <w:bookmarkStart w:id="97" w:name="_Hlk21995017"/>
      <w:r>
        <w:rPr>
          <w:rFonts w:ascii="宋体" w:eastAsia="宋体" w:hAnsi="宋体" w:hint="eastAsia"/>
          <w:sz w:val="24"/>
        </w:rPr>
        <w:t>，</w:t>
      </w:r>
      <w:r>
        <w:rPr>
          <w:rFonts w:ascii="宋体" w:eastAsia="宋体" w:hAnsi="宋体" w:cs="Times New Roman"/>
          <w:sz w:val="24"/>
          <w:szCs w:val="24"/>
        </w:rPr>
        <w:t>并报中国证监会备案</w:t>
      </w:r>
      <w:bookmarkEnd w:id="97"/>
      <w:r>
        <w:rPr>
          <w:rStyle w:val="read"/>
          <w:rFonts w:ascii="宋体" w:eastAsia="宋体" w:hAnsi="宋体" w:hint="eastAsia"/>
          <w:sz w:val="24"/>
        </w:rPr>
        <w:t>；</w:t>
      </w:r>
      <w:bookmarkEnd w:id="96"/>
      <w:r>
        <w:rPr>
          <w:rStyle w:val="read"/>
          <w:rFonts w:ascii="宋体" w:eastAsia="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142D4A2D" w14:textId="77777777" w:rsidR="00691EA2" w:rsidRDefault="00F874ED">
      <w:pPr>
        <w:adjustRightInd w:val="0"/>
        <w:snapToGrid w:val="0"/>
        <w:spacing w:line="400" w:lineRule="exact"/>
        <w:ind w:firstLineChars="200" w:firstLine="480"/>
        <w:rPr>
          <w:rStyle w:val="read"/>
          <w:rFonts w:ascii="宋体" w:eastAsia="宋体" w:hAnsi="宋体"/>
          <w:sz w:val="24"/>
        </w:rPr>
      </w:pPr>
      <w:r>
        <w:rPr>
          <w:rStyle w:val="read"/>
          <w:rFonts w:ascii="宋体" w:eastAsia="宋体" w:hAnsi="宋体" w:hint="eastAsia"/>
          <w:sz w:val="24"/>
        </w:rPr>
        <w:t>2.当各类基金份额的基金份额净值计算差错给基金和基金份额持有人造成损失需要进行赔偿时，基金管理人和基金托管人应根据实际情况界定双方承担的责任，经确认后按以下条款进行赔偿：</w:t>
      </w:r>
    </w:p>
    <w:p w14:paraId="28834F7B" w14:textId="77777777" w:rsidR="00691EA2" w:rsidRDefault="00F874ED">
      <w:pPr>
        <w:adjustRightInd w:val="0"/>
        <w:snapToGrid w:val="0"/>
        <w:spacing w:line="400" w:lineRule="exact"/>
        <w:ind w:firstLineChars="200" w:firstLine="480"/>
        <w:rPr>
          <w:rFonts w:ascii="宋体" w:eastAsia="宋体" w:hAnsi="宋体" w:cs="Arial"/>
          <w:sz w:val="24"/>
        </w:rPr>
      </w:pPr>
      <w:r>
        <w:rPr>
          <w:rStyle w:val="read"/>
          <w:rFonts w:ascii="宋体" w:eastAsia="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eastAsia="宋体" w:hAnsi="宋体" w:cs="Arial" w:hint="eastAsia"/>
          <w:sz w:val="24"/>
        </w:rPr>
        <w:t>损失，由基金管理人负责赔付。</w:t>
      </w:r>
    </w:p>
    <w:p w14:paraId="508CDED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w:t>
      </w:r>
      <w:r>
        <w:rPr>
          <w:rFonts w:ascii="宋体" w:eastAsia="宋体" w:hAnsi="宋体" w:hint="eastAsia"/>
          <w:kern w:val="0"/>
          <w:sz w:val="24"/>
        </w:rPr>
        <w:t>若基金管理人计算的</w:t>
      </w:r>
      <w:r>
        <w:rPr>
          <w:rStyle w:val="read"/>
          <w:rFonts w:ascii="宋体" w:eastAsia="宋体" w:hAnsi="宋体" w:hint="eastAsia"/>
          <w:sz w:val="24"/>
        </w:rPr>
        <w:t>各类基金份额的</w:t>
      </w:r>
      <w:r>
        <w:rPr>
          <w:rFonts w:ascii="宋体" w:eastAsia="宋体" w:hAnsi="宋体" w:hint="eastAsia"/>
          <w:kern w:val="0"/>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74D26E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(3)如基金管理人和基金托管人对</w:t>
      </w:r>
      <w:r>
        <w:rPr>
          <w:rStyle w:val="read"/>
          <w:rFonts w:ascii="宋体" w:eastAsia="宋体" w:hAnsi="宋体" w:hint="eastAsia"/>
          <w:sz w:val="24"/>
        </w:rPr>
        <w:t>各类基金份额的</w:t>
      </w:r>
      <w:r>
        <w:rPr>
          <w:rFonts w:ascii="宋体" w:eastAsia="宋体" w:hAnsi="宋体" w:cs="Arial" w:hint="eastAsia"/>
          <w:sz w:val="24"/>
        </w:rPr>
        <w:t>基金份额净值的计算结果，虽然多次重新计算和核对，尚不能达成一致时，为避免不能按时公布各类</w:t>
      </w:r>
      <w:r>
        <w:rPr>
          <w:rStyle w:val="read"/>
          <w:rFonts w:ascii="宋体" w:eastAsia="宋体" w:hAnsi="宋体" w:hint="eastAsia"/>
          <w:sz w:val="24"/>
        </w:rPr>
        <w:t>基金份额的</w:t>
      </w:r>
      <w:r>
        <w:rPr>
          <w:rFonts w:ascii="宋体" w:eastAsia="宋体" w:hAnsi="宋体" w:cs="Arial" w:hint="eastAsia"/>
          <w:sz w:val="24"/>
        </w:rPr>
        <w:t>基金份额净值的情形，以基金管理人的计算结果对外公布，由此给基金份额持有人和基金造成的损失，由基金管理人负责赔付。</w:t>
      </w:r>
    </w:p>
    <w:p w14:paraId="75D98AF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w:t>
      </w:r>
      <w:r>
        <w:rPr>
          <w:rFonts w:ascii="宋体" w:eastAsia="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5B4D78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lastRenderedPageBreak/>
        <w:t>3</w:t>
      </w:r>
      <w:r>
        <w:rPr>
          <w:rFonts w:ascii="宋体" w:eastAsia="宋体" w:hAnsi="宋体" w:cs="Arial" w:hint="eastAsia"/>
          <w:sz w:val="24"/>
        </w:rPr>
        <w:t>.</w:t>
      </w:r>
      <w:bookmarkStart w:id="98" w:name="_Hlk21995276"/>
      <w:r>
        <w:rPr>
          <w:rFonts w:ascii="宋体" w:eastAsia="宋体" w:hAnsi="宋体" w:cs="Arial" w:hint="eastAsia"/>
          <w:sz w:val="24"/>
        </w:rPr>
        <w:t>基金管理人和基金托管人由于各自技术系统设置而产生的净值计算尾差，以基金管理人计算结果为准。</w:t>
      </w:r>
      <w:bookmarkEnd w:id="98"/>
    </w:p>
    <w:p w14:paraId="75BE5AD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4</w:t>
      </w:r>
      <w:r>
        <w:rPr>
          <w:rFonts w:ascii="宋体" w:eastAsia="宋体" w:hAnsi="宋体" w:cs="Arial" w:hint="eastAsia"/>
          <w:sz w:val="24"/>
        </w:rPr>
        <w:t>.</w:t>
      </w:r>
      <w:bookmarkStart w:id="99" w:name="_Hlk163671082"/>
      <w:r>
        <w:rPr>
          <w:rFonts w:ascii="宋体" w:eastAsia="宋体" w:hAnsi="宋体" w:cs="Arial" w:hint="eastAsia"/>
          <w:sz w:val="24"/>
        </w:rPr>
        <w:t>前述内容如法律法规或监管机关另有规定的，从其规定处理。如果行业有通行做法，</w:t>
      </w:r>
      <w:bookmarkStart w:id="100" w:name="_Hlk21995239"/>
      <w:r>
        <w:rPr>
          <w:rFonts w:ascii="宋体" w:eastAsia="宋体" w:hAnsi="宋体" w:cs="Arial" w:hint="eastAsia"/>
          <w:sz w:val="24"/>
          <w:szCs w:val="24"/>
        </w:rPr>
        <w:t>在不违背法律法规且不损害投资者利益的前提下，</w:t>
      </w:r>
      <w:bookmarkEnd w:id="100"/>
      <w:r>
        <w:rPr>
          <w:rFonts w:ascii="宋体" w:eastAsia="宋体" w:hAnsi="宋体" w:cs="Arial" w:hint="eastAsia"/>
          <w:sz w:val="24"/>
        </w:rPr>
        <w:t>基金管理人、基金托管人应本着平等和保护基金份额持有人利益的原则重新协商确定处理原则。</w:t>
      </w:r>
    </w:p>
    <w:bookmarkEnd w:id="99"/>
    <w:p w14:paraId="22AFFEC4"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（四）暂停估值的情形</w:t>
      </w:r>
    </w:p>
    <w:p w14:paraId="54CD6710" w14:textId="77777777" w:rsidR="00691EA2" w:rsidRDefault="00F874ED">
      <w:pPr>
        <w:adjustRightInd w:val="0"/>
        <w:snapToGrid w:val="0"/>
        <w:spacing w:line="400" w:lineRule="exact"/>
        <w:ind w:firstLine="480"/>
        <w:rPr>
          <w:rFonts w:ascii="宋体" w:eastAsia="宋体" w:hAnsi="宋体" w:cs="Arial"/>
          <w:sz w:val="24"/>
        </w:rPr>
      </w:pPr>
      <w:bookmarkStart w:id="101" w:name="_Hlk163671159"/>
      <w:r>
        <w:rPr>
          <w:rFonts w:ascii="宋体" w:eastAsia="宋体" w:hAnsi="宋体" w:cs="Arial"/>
          <w:sz w:val="24"/>
        </w:rPr>
        <w:t>1</w:t>
      </w:r>
      <w:r>
        <w:rPr>
          <w:rFonts w:ascii="宋体" w:eastAsia="宋体" w:hAnsi="宋体" w:cs="Arial" w:hint="eastAsia"/>
          <w:sz w:val="24"/>
        </w:rPr>
        <w:t>．</w:t>
      </w:r>
      <w:r>
        <w:rPr>
          <w:rFonts w:ascii="宋体" w:eastAsia="宋体" w:hAnsi="宋体" w:cs="Arial"/>
          <w:sz w:val="24"/>
        </w:rPr>
        <w:t>基金投资所涉及的证券</w:t>
      </w:r>
      <w:r>
        <w:rPr>
          <w:rFonts w:ascii="宋体" w:eastAsia="宋体" w:hAnsi="宋体" w:cs="Arial" w:hint="eastAsia"/>
          <w:bCs/>
          <w:sz w:val="24"/>
        </w:rPr>
        <w:t>、期货</w:t>
      </w:r>
      <w:r>
        <w:rPr>
          <w:rFonts w:ascii="宋体" w:eastAsia="宋体" w:hAnsi="宋体" w:cs="Arial"/>
          <w:sz w:val="24"/>
        </w:rPr>
        <w:t>交易市场遇法定节假日或因其他原因暂停营业时；</w:t>
      </w:r>
    </w:p>
    <w:p w14:paraId="66F7C40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2</w:t>
      </w:r>
      <w:r>
        <w:rPr>
          <w:rFonts w:ascii="宋体" w:eastAsia="宋体" w:hAnsi="宋体" w:cs="Arial" w:hint="eastAsia"/>
          <w:sz w:val="24"/>
        </w:rPr>
        <w:t>．</w:t>
      </w:r>
      <w:r>
        <w:rPr>
          <w:rFonts w:ascii="宋体" w:eastAsia="宋体" w:hAnsi="宋体" w:cs="Arial"/>
          <w:sz w:val="24"/>
        </w:rPr>
        <w:t>因不可抗力致使基金管理人、基金托管人无法准确评估基金资产价值时；</w:t>
      </w:r>
    </w:p>
    <w:p w14:paraId="4A290E7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3</w:t>
      </w:r>
      <w:r>
        <w:rPr>
          <w:rFonts w:ascii="宋体" w:eastAsia="宋体" w:hAnsi="宋体" w:cs="Arial" w:hint="eastAsia"/>
          <w:sz w:val="24"/>
        </w:rPr>
        <w:t>．当特定资产占前一估值日基金资产净值</w:t>
      </w:r>
      <w:r>
        <w:rPr>
          <w:rFonts w:ascii="宋体" w:eastAsia="宋体" w:hAnsi="宋体" w:cs="Arial"/>
          <w:sz w:val="24"/>
        </w:rPr>
        <w:t>50%</w:t>
      </w:r>
      <w:r>
        <w:rPr>
          <w:rFonts w:ascii="宋体" w:eastAsia="宋体" w:hAnsi="宋体" w:cs="Arial" w:hint="eastAsia"/>
          <w:sz w:val="24"/>
        </w:rPr>
        <w:t>以上的，经与基金托管人协商确认后，基金管理人应当暂停估值；</w:t>
      </w:r>
    </w:p>
    <w:p w14:paraId="241E0DE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4</w:t>
      </w:r>
      <w:r>
        <w:rPr>
          <w:rFonts w:ascii="宋体" w:eastAsia="宋体" w:hAnsi="宋体" w:cs="Arial" w:hint="eastAsia"/>
          <w:sz w:val="24"/>
        </w:rPr>
        <w:t>．</w:t>
      </w:r>
      <w:r>
        <w:rPr>
          <w:rFonts w:ascii="宋体" w:eastAsia="宋体" w:hAnsi="宋体" w:cs="Arial" w:hint="eastAsia"/>
          <w:bCs/>
          <w:sz w:val="24"/>
        </w:rPr>
        <w:t>法律法规、</w:t>
      </w:r>
      <w:r>
        <w:rPr>
          <w:rFonts w:ascii="宋体" w:eastAsia="宋体" w:hAnsi="宋体" w:cs="Arial"/>
          <w:sz w:val="24"/>
        </w:rPr>
        <w:t>中国证监会和基金合同认定的其它情形。</w:t>
      </w:r>
    </w:p>
    <w:bookmarkEnd w:id="101"/>
    <w:p w14:paraId="30093D9A"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（五）实施侧袋机制期间的基金资产估值</w:t>
      </w:r>
    </w:p>
    <w:p w14:paraId="6D8D0420"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本基金实施侧袋机制的，应根据本部分的约定对主袋账户资产进行估值并披露主袋账户的基金净值信息，暂停披露侧袋账户份额净值。</w:t>
      </w:r>
    </w:p>
    <w:p w14:paraId="55E42EE4"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（六）基金会计制度</w:t>
      </w:r>
    </w:p>
    <w:p w14:paraId="2DE7D6FE"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按国家有关部门规定的会计制度执行。</w:t>
      </w:r>
    </w:p>
    <w:p w14:paraId="322F92E9"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（七）基金账册的建立</w:t>
      </w:r>
    </w:p>
    <w:p w14:paraId="6623B6C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328E597"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（八）基金财务报表与报告的编制和复核</w:t>
      </w:r>
    </w:p>
    <w:p w14:paraId="52FC82C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1.财务报表的编制</w:t>
      </w:r>
    </w:p>
    <w:p w14:paraId="3C3223F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基金财务报表由基金管理人编制，基金托管人复核。</w:t>
      </w:r>
    </w:p>
    <w:p w14:paraId="6A9A045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2.报表复核</w:t>
      </w:r>
    </w:p>
    <w:p w14:paraId="31A50FA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基金托管人在收到基金管理人编制的基金财务报表后，进行独立的复核。核对不符时，应及时通知基金管理人共同查出原因，进行调整，直至双方数据完全一致。</w:t>
      </w:r>
    </w:p>
    <w:p w14:paraId="2456BDF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3.财务报表的编制与复核时间安排</w:t>
      </w:r>
    </w:p>
    <w:p w14:paraId="2EC31C2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(1)报表的编制</w:t>
      </w:r>
    </w:p>
    <w:p w14:paraId="0E1ADE94"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w:t>
      </w:r>
      <w:r>
        <w:rPr>
          <w:rFonts w:ascii="宋体" w:eastAsia="宋体" w:hAnsi="宋体" w:cs="Arial" w:hint="eastAsia"/>
          <w:sz w:val="24"/>
        </w:rPr>
        <w:lastRenderedPageBreak/>
        <w:t>计师事务所审计。《基金合同》生效不足两个月的，基金管理人可以不编制当期季度报告、中期报告或者年度报告。</w:t>
      </w:r>
    </w:p>
    <w:p w14:paraId="37D99D45" w14:textId="77777777" w:rsidR="00691EA2" w:rsidRDefault="00F874ED">
      <w:pPr>
        <w:pStyle w:val="a0"/>
        <w:adjustRightInd w:val="0"/>
        <w:snapToGrid w:val="0"/>
        <w:spacing w:line="400" w:lineRule="exact"/>
        <w:ind w:firstLine="480"/>
        <w:rPr>
          <w:rFonts w:ascii="宋体" w:hAnsi="宋体" w:cs="Arial"/>
          <w:sz w:val="24"/>
        </w:rPr>
      </w:pPr>
      <w:r>
        <w:rPr>
          <w:rFonts w:ascii="宋体" w:hAnsi="宋体" w:cs="Arial" w:hint="eastAsia"/>
          <w:sz w:val="24"/>
        </w:rPr>
        <w:t>(2)报表的复核</w:t>
      </w:r>
    </w:p>
    <w:p w14:paraId="3273412D" w14:textId="77777777" w:rsidR="00691EA2" w:rsidRDefault="00F874ED">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A981E69" w14:textId="77777777" w:rsidR="00691EA2" w:rsidRDefault="00F874ED">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08D36B6E" w14:textId="77777777" w:rsidR="00691EA2" w:rsidRDefault="00F874ED">
      <w:pPr>
        <w:pStyle w:val="a0"/>
        <w:adjustRightInd w:val="0"/>
        <w:snapToGrid w:val="0"/>
        <w:spacing w:line="360" w:lineRule="auto"/>
        <w:ind w:firstLine="480"/>
        <w:rPr>
          <w:rFonts w:ascii="宋体" w:hAnsi="宋体" w:cs="Arial"/>
          <w:sz w:val="24"/>
        </w:rPr>
      </w:pPr>
      <w:r>
        <w:rPr>
          <w:rFonts w:ascii="宋体" w:hAnsi="宋体" w:cs="Arial" w:hint="eastAsia"/>
          <w:sz w:val="24"/>
        </w:rPr>
        <w:t>（九）基金管理人应在编制季度报告、中期报告或者年度报告之前及时向基金托管人提供基金业绩比较基准的基础数据和编制结果。</w:t>
      </w:r>
    </w:p>
    <w:p w14:paraId="31CD00CD" w14:textId="77777777" w:rsidR="00691EA2" w:rsidRDefault="00F874ED">
      <w:pPr>
        <w:widowControl/>
        <w:jc w:val="left"/>
        <w:rPr>
          <w:rFonts w:ascii="宋体" w:eastAsia="宋体" w:hAnsi="宋体" w:cs="Arial"/>
          <w:sz w:val="24"/>
          <w:szCs w:val="24"/>
        </w:rPr>
      </w:pPr>
      <w:r>
        <w:rPr>
          <w:rFonts w:ascii="宋体" w:hAnsi="宋体" w:cs="Arial"/>
          <w:sz w:val="24"/>
        </w:rPr>
        <w:br w:type="page"/>
      </w:r>
    </w:p>
    <w:p w14:paraId="20A487E6" w14:textId="77777777" w:rsidR="00691EA2" w:rsidRDefault="00691EA2">
      <w:pPr>
        <w:pStyle w:val="a0"/>
        <w:adjustRightInd w:val="0"/>
        <w:snapToGrid w:val="0"/>
        <w:spacing w:line="400" w:lineRule="exact"/>
        <w:ind w:firstLineChars="0" w:firstLine="0"/>
        <w:rPr>
          <w:rFonts w:ascii="宋体" w:hAnsi="宋体" w:cs="Arial"/>
          <w:sz w:val="24"/>
        </w:rPr>
      </w:pPr>
    </w:p>
    <w:p w14:paraId="62FE4AB5" w14:textId="77777777" w:rsidR="00691EA2" w:rsidRDefault="00F874ED">
      <w:pPr>
        <w:pStyle w:val="2"/>
        <w:spacing w:line="400" w:lineRule="exact"/>
        <w:jc w:val="center"/>
        <w:rPr>
          <w:rFonts w:ascii="宋体" w:eastAsia="宋体" w:hAnsi="宋体"/>
          <w:sz w:val="30"/>
        </w:rPr>
      </w:pPr>
      <w:bookmarkStart w:id="102" w:name="_Toc124325893"/>
      <w:r>
        <w:rPr>
          <w:rFonts w:ascii="宋体" w:eastAsia="宋体" w:hAnsi="宋体" w:hint="eastAsia"/>
          <w:sz w:val="30"/>
        </w:rPr>
        <w:t>九、基金收益分配</w:t>
      </w:r>
      <w:bookmarkEnd w:id="102"/>
    </w:p>
    <w:p w14:paraId="5084FEE2" w14:textId="77777777" w:rsidR="00691EA2" w:rsidRDefault="00F874ED">
      <w:pPr>
        <w:adjustRightInd w:val="0"/>
        <w:snapToGrid w:val="0"/>
        <w:spacing w:line="400" w:lineRule="exact"/>
        <w:ind w:firstLineChars="200" w:firstLine="480"/>
        <w:rPr>
          <w:rFonts w:ascii="宋体" w:eastAsia="宋体" w:hAnsi="宋体" w:cs="Arial"/>
          <w:bCs/>
          <w:sz w:val="24"/>
        </w:rPr>
      </w:pPr>
      <w:bookmarkStart w:id="103" w:name="_Hlk21996192"/>
      <w:bookmarkStart w:id="104" w:name="_Hlk163671245"/>
      <w:r>
        <w:rPr>
          <w:rFonts w:ascii="宋体" w:eastAsia="宋体" w:hAnsi="宋体" w:cs="Arial" w:hint="eastAsia"/>
          <w:bCs/>
          <w:sz w:val="24"/>
        </w:rPr>
        <w:t>（一）基金利润的构成</w:t>
      </w:r>
    </w:p>
    <w:p w14:paraId="19330AFB" w14:textId="77777777" w:rsidR="00691EA2" w:rsidRDefault="00F874ED">
      <w:pPr>
        <w:spacing w:line="360" w:lineRule="auto"/>
        <w:ind w:firstLineChars="225" w:firstLine="540"/>
        <w:rPr>
          <w:rFonts w:ascii="宋体" w:eastAsia="宋体" w:hAnsi="宋体" w:cs="Times New Roman"/>
          <w:sz w:val="24"/>
          <w:szCs w:val="20"/>
        </w:rPr>
      </w:pPr>
      <w:r>
        <w:rPr>
          <w:rFonts w:ascii="宋体" w:eastAsia="宋体" w:hAnsi="宋体"/>
          <w:sz w:val="24"/>
        </w:rPr>
        <w:t>基金利润指基金利息收入、投资收益、公允价值变动收益和其他收入扣除相关费用后的余额，基金已实现收益指基金利润减去公允价值变动收益后的余额。</w:t>
      </w:r>
    </w:p>
    <w:p w14:paraId="563901B8"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（二）基金可供分配利润</w:t>
      </w:r>
    </w:p>
    <w:p w14:paraId="6403D512"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基金可供分配利润指截至收益分配基准日基金未分配利润与未分配利润中已实现收益的孰低数。</w:t>
      </w:r>
      <w:bookmarkEnd w:id="103"/>
    </w:p>
    <w:p w14:paraId="0211FC98"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（三）基金收益分配原则</w:t>
      </w:r>
    </w:p>
    <w:p w14:paraId="0713F9A9" w14:textId="77777777" w:rsidR="00691EA2" w:rsidRDefault="00F874ED">
      <w:pPr>
        <w:adjustRightInd w:val="0"/>
        <w:snapToGrid w:val="0"/>
        <w:spacing w:line="400" w:lineRule="exact"/>
        <w:ind w:firstLineChars="200" w:firstLine="480"/>
        <w:rPr>
          <w:rFonts w:ascii="宋体" w:eastAsia="宋体" w:hAnsi="宋体" w:cs="Arial"/>
          <w:bCs/>
          <w:sz w:val="24"/>
        </w:rPr>
      </w:pPr>
      <w:bookmarkStart w:id="105" w:name="_Hlk21996032"/>
      <w:r>
        <w:rPr>
          <w:rFonts w:ascii="宋体" w:eastAsia="宋体" w:hAnsi="宋体" w:cs="Arial"/>
          <w:bCs/>
          <w:sz w:val="24"/>
        </w:rPr>
        <w:t>1、本基金收益分配方式分两种：现金分红与红利再投资，投资者可选择现金红利或将现金红利自动转为</w:t>
      </w:r>
      <w:r>
        <w:rPr>
          <w:rFonts w:ascii="宋体" w:eastAsia="宋体" w:hAnsi="宋体" w:cs="Arial" w:hint="eastAsia"/>
          <w:bCs/>
          <w:sz w:val="24"/>
        </w:rPr>
        <w:t>相应类别的</w:t>
      </w:r>
      <w:r>
        <w:rPr>
          <w:rFonts w:ascii="宋体" w:eastAsia="宋体" w:hAnsi="宋体" w:cs="Arial"/>
          <w:bCs/>
          <w:sz w:val="24"/>
        </w:rPr>
        <w:t>基金份额进行再投资；若投资者不选择，本基金默认的收益分配方式是现金分红；</w:t>
      </w:r>
    </w:p>
    <w:p w14:paraId="245D82D8"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2、基金收益分配后</w:t>
      </w:r>
      <w:r>
        <w:rPr>
          <w:rFonts w:ascii="宋体" w:eastAsia="宋体" w:hAnsi="宋体" w:cs="Arial" w:hint="eastAsia"/>
          <w:bCs/>
          <w:sz w:val="24"/>
        </w:rPr>
        <w:t>各类</w:t>
      </w:r>
      <w:r>
        <w:rPr>
          <w:rFonts w:ascii="宋体" w:eastAsia="宋体" w:hAnsi="宋体" w:cs="Arial"/>
          <w:bCs/>
          <w:sz w:val="24"/>
        </w:rPr>
        <w:t>基金份额净值不能低于面值</w:t>
      </w:r>
      <w:r>
        <w:rPr>
          <w:rFonts w:ascii="宋体" w:eastAsia="宋体" w:hAnsi="宋体" w:cs="Arial" w:hint="eastAsia"/>
          <w:bCs/>
          <w:sz w:val="24"/>
        </w:rPr>
        <w:t>，</w:t>
      </w:r>
      <w:r>
        <w:rPr>
          <w:rFonts w:ascii="宋体" w:eastAsia="宋体" w:hAnsi="宋体" w:cs="Arial"/>
          <w:bCs/>
          <w:sz w:val="24"/>
        </w:rPr>
        <w:t>即基金收益分配基准日的</w:t>
      </w:r>
      <w:r>
        <w:rPr>
          <w:rFonts w:ascii="宋体" w:eastAsia="宋体" w:hAnsi="宋体" w:cs="Arial" w:hint="eastAsia"/>
          <w:bCs/>
          <w:sz w:val="24"/>
        </w:rPr>
        <w:t>各类</w:t>
      </w:r>
      <w:r>
        <w:rPr>
          <w:rFonts w:ascii="宋体" w:eastAsia="宋体" w:hAnsi="宋体" w:cs="Arial"/>
          <w:bCs/>
          <w:sz w:val="24"/>
        </w:rPr>
        <w:t>基金份额净值减去每单位</w:t>
      </w:r>
      <w:r>
        <w:rPr>
          <w:rFonts w:ascii="宋体" w:eastAsia="宋体" w:hAnsi="宋体" w:cs="Arial" w:hint="eastAsia"/>
          <w:bCs/>
          <w:sz w:val="24"/>
        </w:rPr>
        <w:t>该类</w:t>
      </w:r>
      <w:r>
        <w:rPr>
          <w:rFonts w:ascii="宋体" w:eastAsia="宋体" w:hAnsi="宋体" w:cs="Arial"/>
          <w:bCs/>
          <w:sz w:val="24"/>
        </w:rPr>
        <w:t>基金份额收益分配金额后不能低于面值</w:t>
      </w:r>
      <w:r>
        <w:rPr>
          <w:rFonts w:ascii="宋体" w:eastAsia="宋体" w:hAnsi="宋体" w:cs="Arial" w:hint="eastAsia"/>
          <w:bCs/>
          <w:sz w:val="24"/>
        </w:rPr>
        <w:t>；</w:t>
      </w:r>
    </w:p>
    <w:p w14:paraId="327156A7"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3、由于本基金A类基金份额不收取销售服务费，而C类基金份额收取销售服务费，各基金份额类别对应的可分配收益将有所不同。本基金同一类别的每一基金份额享有同等分配权；</w:t>
      </w:r>
    </w:p>
    <w:p w14:paraId="4116061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4、法律法规或监管机关另有规定的，从其规定。</w:t>
      </w:r>
    </w:p>
    <w:p w14:paraId="04F58CFF" w14:textId="440E50FE"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在符合法律法规及基金合同约定，并对基金份额持有人利益无实质不利影响的前提下，</w:t>
      </w:r>
      <w:r w:rsidR="00111245">
        <w:rPr>
          <w:rFonts w:ascii="宋体" w:eastAsia="宋体" w:hAnsi="宋体" w:cs="Arial" w:hint="eastAsia"/>
          <w:bCs/>
          <w:sz w:val="24"/>
        </w:rPr>
        <w:t>基金管理人在与基金托管人协商一致后经</w:t>
      </w:r>
      <w:r>
        <w:rPr>
          <w:rFonts w:ascii="宋体" w:eastAsia="宋体" w:hAnsi="宋体" w:cs="Arial" w:hint="eastAsia"/>
          <w:bCs/>
          <w:sz w:val="24"/>
        </w:rPr>
        <w:t>履行适当程序，基金管理人可对基金收益分配原则进行调整。</w:t>
      </w:r>
    </w:p>
    <w:bookmarkEnd w:id="105"/>
    <w:p w14:paraId="5B2ED792"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（四）收益分配方案</w:t>
      </w:r>
    </w:p>
    <w:p w14:paraId="2F10DA13"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基金收益分配方案中应载明截至收益分配基准日的可供分配利润、基金收益分配对象、分配时间、分配数额及比例、分配方式等内容。</w:t>
      </w:r>
    </w:p>
    <w:p w14:paraId="348AE32B"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（五）收益分配方案的确定、公告与实施</w:t>
      </w:r>
    </w:p>
    <w:p w14:paraId="4F39C169" w14:textId="77777777" w:rsidR="00691EA2" w:rsidRDefault="00F874ED">
      <w:pPr>
        <w:adjustRightInd w:val="0"/>
        <w:snapToGrid w:val="0"/>
        <w:spacing w:line="400" w:lineRule="exact"/>
        <w:ind w:firstLineChars="200" w:firstLine="480"/>
        <w:rPr>
          <w:rFonts w:ascii="宋体" w:eastAsia="宋体" w:hAnsi="宋体" w:cs="Arial"/>
          <w:bCs/>
          <w:sz w:val="24"/>
        </w:rPr>
      </w:pPr>
      <w:bookmarkStart w:id="106" w:name="_Hlk21996082"/>
      <w:bookmarkStart w:id="107" w:name="_Hlk21996108"/>
      <w:r>
        <w:rPr>
          <w:rFonts w:ascii="宋体" w:eastAsia="宋体" w:hAnsi="宋体" w:cs="Arial" w:hint="eastAsia"/>
          <w:bCs/>
          <w:sz w:val="24"/>
        </w:rPr>
        <w:t>本基金收益分配方案由基金管理人拟定，并由基金托管人复核，依据《信息披露办法》的有关规定在规定媒介公告。</w:t>
      </w:r>
    </w:p>
    <w:bookmarkEnd w:id="106"/>
    <w:bookmarkEnd w:id="107"/>
    <w:p w14:paraId="75BDBC59"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（六）基金收益分配中发生的费用</w:t>
      </w:r>
    </w:p>
    <w:p w14:paraId="0AEF8F0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34FD52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（七）实施侧袋机制期间的收益分配</w:t>
      </w:r>
    </w:p>
    <w:p w14:paraId="48B0A3B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lastRenderedPageBreak/>
        <w:t>本基金实施侧袋机制的，侧袋账户不进行收益分配，详见招募说明书的规定。</w:t>
      </w:r>
    </w:p>
    <w:bookmarkEnd w:id="104"/>
    <w:p w14:paraId="3B866573"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2DEEB3D0" w14:textId="77777777" w:rsidR="00691EA2" w:rsidRDefault="00691EA2">
      <w:pPr>
        <w:adjustRightInd w:val="0"/>
        <w:snapToGrid w:val="0"/>
        <w:spacing w:line="400" w:lineRule="exact"/>
        <w:ind w:firstLine="480"/>
        <w:rPr>
          <w:rFonts w:ascii="宋体" w:eastAsia="宋体" w:hAnsi="宋体" w:cs="Arial"/>
          <w:sz w:val="24"/>
        </w:rPr>
      </w:pPr>
    </w:p>
    <w:p w14:paraId="3974ED88" w14:textId="77777777" w:rsidR="00691EA2" w:rsidRDefault="00F874ED">
      <w:pPr>
        <w:pStyle w:val="2"/>
        <w:spacing w:line="400" w:lineRule="exact"/>
        <w:jc w:val="center"/>
        <w:rPr>
          <w:rFonts w:ascii="宋体" w:eastAsia="宋体" w:hAnsi="宋体"/>
          <w:sz w:val="30"/>
        </w:rPr>
      </w:pPr>
      <w:bookmarkStart w:id="108" w:name="_Toc124325894"/>
      <w:r>
        <w:rPr>
          <w:rFonts w:ascii="宋体" w:eastAsia="宋体" w:hAnsi="宋体" w:hint="eastAsia"/>
          <w:sz w:val="30"/>
        </w:rPr>
        <w:t>十、基金信息披露</w:t>
      </w:r>
      <w:bookmarkEnd w:id="108"/>
    </w:p>
    <w:p w14:paraId="55C9525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（一）保密义务</w:t>
      </w:r>
    </w:p>
    <w:p w14:paraId="2769E9C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53ADE1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1.非因基金管理人和基金托管人的原因导致保密信息被披露、泄露或公开；</w:t>
      </w:r>
    </w:p>
    <w:p w14:paraId="5E6643C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2.基金管理人和基金托管人为遵守和服从法院判决或裁定、仲裁裁决或中国证监会等监管机构的命令、决定所做出的信息披露或公开。</w:t>
      </w:r>
    </w:p>
    <w:p w14:paraId="144266E9"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（二）信息披露的内容</w:t>
      </w:r>
    </w:p>
    <w:p w14:paraId="5272AEA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实施侧袋机制期间的信息披露、参与股指期货交易的信息披露、参与国债期货交易的信息披露、参与股票期权交易的信息披露、投资资产支持证券的信息披露、参与融资交易的信息披露、参与转融通业务的信息披露、参与港股通交易的信息披露及中国证监会规定的其他信息。基金年度报告中的财务会计报告应当经过符合《中华人民共和国证券法》规定的会计师事务所审计后，方可披露。</w:t>
      </w:r>
    </w:p>
    <w:p w14:paraId="14A3AE8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本基金实施侧袋机制的，相关信息披露义务人应当根据法律法规、基金合同和招募说明书的规定进行信息披露，详见招募说明书的规定。</w:t>
      </w:r>
    </w:p>
    <w:p w14:paraId="666BA47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（三）基金托管人和基金管理人在信息披露中的职责和信息披露程序</w:t>
      </w:r>
    </w:p>
    <w:p w14:paraId="4A92771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1.职责</w:t>
      </w:r>
    </w:p>
    <w:p w14:paraId="6FEFE78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192F48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对于不需要基金托管人复核的信息，基金管理人在公告前应告知基金托管人。</w:t>
      </w:r>
    </w:p>
    <w:p w14:paraId="5DBB8C8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基金管理人和基金托管人应积极配合、互相监督，保证其履行按照法定方式</w:t>
      </w:r>
      <w:r>
        <w:rPr>
          <w:rFonts w:ascii="宋体" w:eastAsia="宋体" w:hAnsi="宋体" w:cs="Arial" w:hint="eastAsia"/>
          <w:sz w:val="24"/>
        </w:rPr>
        <w:lastRenderedPageBreak/>
        <w:t>和时限披露的义务。</w:t>
      </w:r>
    </w:p>
    <w:p w14:paraId="7F0AD45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管理人应当在中国证监会规定的时间内，将应予披露的基金信息通过符合中国证监会规定条件的全国性报刊及《信息披露办法》规定的互联网网站披露。根据法律法规应由基金托管人公开披露的信息，基金托管人将通过规定媒介或基金托管人的互联网网站公开披露。</w:t>
      </w:r>
    </w:p>
    <w:p w14:paraId="5D80B10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当出现下述情况时，基金管理人和基金托管人可暂停或延迟披露基金相关信息：</w:t>
      </w:r>
    </w:p>
    <w:p w14:paraId="2D14F00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(1)不可抗力；</w:t>
      </w:r>
    </w:p>
    <w:p w14:paraId="174A02A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(2)发生暂停估值的情形；</w:t>
      </w:r>
    </w:p>
    <w:p w14:paraId="0D53C78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w:t>
      </w:r>
      <w:r>
        <w:rPr>
          <w:rFonts w:ascii="宋体" w:eastAsia="宋体" w:hAnsi="宋体" w:cs="Arial"/>
          <w:sz w:val="24"/>
        </w:rPr>
        <w:t>3</w:t>
      </w:r>
      <w:r>
        <w:rPr>
          <w:rFonts w:ascii="宋体" w:eastAsia="宋体" w:hAnsi="宋体" w:cs="Arial" w:hint="eastAsia"/>
          <w:sz w:val="24"/>
        </w:rPr>
        <w:t>)</w:t>
      </w:r>
      <w:r>
        <w:rPr>
          <w:rFonts w:hint="eastAsia"/>
        </w:rPr>
        <w:t xml:space="preserve"> </w:t>
      </w:r>
      <w:r>
        <w:rPr>
          <w:rFonts w:ascii="宋体" w:eastAsia="宋体" w:hAnsi="宋体" w:cs="Arial" w:hint="eastAsia"/>
          <w:sz w:val="24"/>
        </w:rPr>
        <w:t>法律法规、中国证监会规定或基金合同认定的其他情形。</w:t>
      </w:r>
    </w:p>
    <w:p w14:paraId="6219AB14"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2.程序</w:t>
      </w:r>
    </w:p>
    <w:p w14:paraId="0DC50AD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B3D952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3.信息文本的存放</w:t>
      </w:r>
    </w:p>
    <w:p w14:paraId="648FB1BD" w14:textId="77777777" w:rsidR="00691EA2" w:rsidRDefault="00F874ED" w:rsidP="00EB6B3F">
      <w:pPr>
        <w:adjustRightInd w:val="0"/>
        <w:snapToGrid w:val="0"/>
        <w:spacing w:line="360" w:lineRule="auto"/>
        <w:ind w:firstLineChars="200" w:firstLine="480"/>
        <w:rPr>
          <w:rFonts w:ascii="宋体" w:eastAsia="宋体" w:hAnsi="宋体" w:cs="Arial"/>
          <w:sz w:val="24"/>
        </w:rPr>
      </w:pPr>
      <w:r>
        <w:rPr>
          <w:rFonts w:ascii="宋体" w:eastAsia="宋体" w:hAnsi="宋体" w:cs="Arial" w:hint="eastAsia"/>
          <w:sz w:val="24"/>
        </w:rPr>
        <w:t>依法必须披露的信息发布后，基金管理人、基金托管人应当按照相关法律法规规定将信息置备于各自住所，供社会公众查阅、复制。投资者在支付工本费后可在合理时间获得上述文件的复制件或复印件。基金管理人和基金托管人应保证文本的内容与所公告的内容完全一致。</w:t>
      </w:r>
    </w:p>
    <w:p w14:paraId="77A27ED1" w14:textId="77777777" w:rsidR="00377932" w:rsidRPr="00EB6B3F" w:rsidRDefault="00377932" w:rsidP="00EB6B3F">
      <w:pPr>
        <w:pStyle w:val="a0"/>
        <w:spacing w:line="360" w:lineRule="auto"/>
        <w:ind w:firstLine="480"/>
        <w:rPr>
          <w:rFonts w:ascii="宋体" w:hAnsi="宋体" w:cs="Arial"/>
          <w:sz w:val="24"/>
          <w:szCs w:val="22"/>
        </w:rPr>
      </w:pPr>
      <w:r w:rsidRPr="00EB6B3F">
        <w:rPr>
          <w:rFonts w:ascii="宋体" w:hAnsi="宋体" w:cs="Arial" w:hint="eastAsia"/>
          <w:sz w:val="24"/>
          <w:szCs w:val="22"/>
        </w:rPr>
        <w:t>（四）法律法规或监管部门对适用于本基金的信息披露另有规定的，从其规定。如规定发生变化的，从其最新规定。</w:t>
      </w:r>
    </w:p>
    <w:p w14:paraId="2FE80BFE" w14:textId="77777777" w:rsidR="00377932" w:rsidRPr="00377932" w:rsidRDefault="00377932" w:rsidP="00EB6B3F">
      <w:pPr>
        <w:adjustRightInd w:val="0"/>
        <w:snapToGrid w:val="0"/>
        <w:spacing w:line="360" w:lineRule="auto"/>
        <w:ind w:firstLineChars="200" w:firstLine="480"/>
        <w:rPr>
          <w:rFonts w:ascii="宋体" w:eastAsia="宋体" w:hAnsi="宋体" w:cs="Arial"/>
          <w:sz w:val="24"/>
        </w:rPr>
      </w:pPr>
    </w:p>
    <w:p w14:paraId="7420D0AF" w14:textId="77777777" w:rsidR="00691EA2" w:rsidRPr="00377932" w:rsidRDefault="00F874ED" w:rsidP="00EB6B3F">
      <w:pPr>
        <w:widowControl/>
        <w:spacing w:line="360" w:lineRule="auto"/>
        <w:jc w:val="left"/>
        <w:rPr>
          <w:rFonts w:ascii="宋体" w:eastAsia="宋体" w:hAnsi="宋体" w:cs="Arial"/>
          <w:sz w:val="24"/>
          <w:szCs w:val="24"/>
        </w:rPr>
      </w:pPr>
      <w:r>
        <w:rPr>
          <w:rFonts w:ascii="宋体" w:hAnsi="宋体" w:cs="Arial"/>
          <w:sz w:val="24"/>
        </w:rPr>
        <w:br w:type="page"/>
      </w:r>
    </w:p>
    <w:p w14:paraId="29F2B95E" w14:textId="77777777" w:rsidR="00691EA2" w:rsidRDefault="00691EA2">
      <w:pPr>
        <w:pStyle w:val="a0"/>
        <w:spacing w:line="400" w:lineRule="exact"/>
        <w:ind w:firstLineChars="0" w:firstLine="0"/>
        <w:rPr>
          <w:rFonts w:ascii="宋体" w:hAnsi="宋体" w:cs="Arial"/>
          <w:sz w:val="24"/>
        </w:rPr>
      </w:pPr>
    </w:p>
    <w:p w14:paraId="5FBE2549" w14:textId="77777777" w:rsidR="00691EA2" w:rsidRDefault="00F874ED">
      <w:pPr>
        <w:pStyle w:val="2"/>
        <w:spacing w:line="400" w:lineRule="exact"/>
        <w:jc w:val="center"/>
        <w:rPr>
          <w:rFonts w:ascii="宋体" w:eastAsia="宋体" w:hAnsi="宋体"/>
          <w:sz w:val="30"/>
        </w:rPr>
      </w:pPr>
      <w:bookmarkStart w:id="109" w:name="_Toc124325895"/>
      <w:r>
        <w:rPr>
          <w:rFonts w:ascii="宋体" w:eastAsia="宋体" w:hAnsi="宋体" w:hint="eastAsia"/>
          <w:sz w:val="30"/>
        </w:rPr>
        <w:t>十一、基金费用</w:t>
      </w:r>
      <w:bookmarkEnd w:id="109"/>
    </w:p>
    <w:p w14:paraId="1CA94F11" w14:textId="77777777" w:rsidR="00691EA2" w:rsidRDefault="00F874ED">
      <w:pPr>
        <w:adjustRightInd w:val="0"/>
        <w:snapToGrid w:val="0"/>
        <w:spacing w:line="400" w:lineRule="exact"/>
        <w:ind w:firstLineChars="200" w:firstLine="480"/>
        <w:rPr>
          <w:rFonts w:ascii="宋体" w:eastAsia="宋体" w:hAnsi="宋体" w:cs="Arial"/>
          <w:sz w:val="24"/>
        </w:rPr>
      </w:pPr>
      <w:bookmarkStart w:id="110" w:name="_Hlk163671755"/>
      <w:r>
        <w:rPr>
          <w:rFonts w:ascii="宋体" w:eastAsia="宋体" w:hAnsi="宋体" w:cs="Arial" w:hint="eastAsia"/>
          <w:sz w:val="24"/>
        </w:rPr>
        <w:t>（一）基金管理费的计提比例和计提方法</w:t>
      </w:r>
    </w:p>
    <w:p w14:paraId="264B0815" w14:textId="0A363829"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本基金的管理费按前一日基金资产净值</w:t>
      </w:r>
      <w:r>
        <w:rPr>
          <w:rFonts w:ascii="宋体" w:eastAsia="宋体" w:hAnsi="宋体" w:cs="Arial" w:hint="eastAsia"/>
          <w:sz w:val="24"/>
        </w:rPr>
        <w:t>的</w:t>
      </w:r>
      <w:r>
        <w:rPr>
          <w:rFonts w:ascii="宋体" w:eastAsia="宋体" w:hAnsi="宋体" w:cs="Arial"/>
          <w:bCs/>
          <w:sz w:val="24"/>
        </w:rPr>
        <w:t>0.80</w:t>
      </w:r>
      <w:r>
        <w:rPr>
          <w:rFonts w:ascii="宋体" w:eastAsia="宋体" w:hAnsi="宋体" w:cs="Arial"/>
          <w:sz w:val="24"/>
        </w:rPr>
        <w:t>%</w:t>
      </w:r>
      <w:r>
        <w:rPr>
          <w:rFonts w:ascii="宋体" w:eastAsia="宋体" w:hAnsi="宋体" w:cs="Arial" w:hint="eastAsia"/>
          <w:sz w:val="24"/>
        </w:rPr>
        <w:t>年</w:t>
      </w:r>
      <w:r>
        <w:rPr>
          <w:rFonts w:ascii="宋体" w:eastAsia="宋体" w:hAnsi="宋体" w:cs="Arial"/>
          <w:sz w:val="24"/>
        </w:rPr>
        <w:t>费率计提。管理费的计算方法如下：</w:t>
      </w:r>
    </w:p>
    <w:p w14:paraId="2781DD5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H＝E×</w:t>
      </w:r>
      <w:r>
        <w:rPr>
          <w:rFonts w:ascii="宋体" w:hAnsi="宋体" w:cs="Times New Roman"/>
          <w:bCs/>
          <w:sz w:val="24"/>
          <w:szCs w:val="20"/>
        </w:rPr>
        <w:t>0.80</w:t>
      </w:r>
      <w:r>
        <w:rPr>
          <w:rFonts w:ascii="宋体" w:eastAsia="宋体" w:hAnsi="宋体" w:cs="Arial"/>
          <w:sz w:val="24"/>
        </w:rPr>
        <w:t>%÷当年天数</w:t>
      </w:r>
    </w:p>
    <w:p w14:paraId="3C15A9B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H为每日应计提的基金管理费</w:t>
      </w:r>
    </w:p>
    <w:p w14:paraId="261D0AD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sz w:val="24"/>
        </w:rPr>
        <w:t>E为前一日的基金资产净值</w:t>
      </w:r>
    </w:p>
    <w:p w14:paraId="43363592" w14:textId="77777777" w:rsidR="00691EA2" w:rsidRDefault="00F874ED">
      <w:pPr>
        <w:adjustRightInd w:val="0"/>
        <w:snapToGrid w:val="0"/>
        <w:spacing w:line="360" w:lineRule="auto"/>
        <w:ind w:firstLineChars="200" w:firstLine="480"/>
        <w:rPr>
          <w:rFonts w:ascii="宋体" w:eastAsia="宋体" w:hAnsi="宋体" w:cs="Arial"/>
          <w:sz w:val="24"/>
        </w:rPr>
      </w:pPr>
      <w:r>
        <w:rPr>
          <w:rFonts w:ascii="宋体" w:eastAsia="宋体" w:hAnsi="宋体" w:cs="Arial" w:hint="eastAsia"/>
          <w:sz w:val="24"/>
        </w:rPr>
        <w:t>（二）基金托管费的计提比例和计提方法</w:t>
      </w:r>
    </w:p>
    <w:p w14:paraId="11B1FCDB"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本基金的托管费按前一日基金资产净值的</w:t>
      </w:r>
      <w:r>
        <w:rPr>
          <w:rFonts w:ascii="宋体" w:eastAsia="宋体" w:hAnsi="宋体" w:cs="Times New Roman" w:hint="eastAsia"/>
          <w:bCs/>
          <w:sz w:val="24"/>
          <w:szCs w:val="20"/>
        </w:rPr>
        <w:t>0.</w:t>
      </w:r>
      <w:r>
        <w:rPr>
          <w:rFonts w:ascii="宋体" w:eastAsia="宋体" w:hAnsi="宋体" w:cs="Times New Roman"/>
          <w:bCs/>
          <w:sz w:val="24"/>
          <w:szCs w:val="20"/>
        </w:rPr>
        <w:t>15%</w:t>
      </w:r>
      <w:r>
        <w:rPr>
          <w:rFonts w:ascii="宋体" w:eastAsia="宋体" w:hAnsi="宋体"/>
          <w:sz w:val="24"/>
        </w:rPr>
        <w:t>的年费率计提。托管费的计算方法如下：</w:t>
      </w:r>
    </w:p>
    <w:p w14:paraId="743E16BA"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H＝E×</w:t>
      </w:r>
      <w:r>
        <w:rPr>
          <w:rFonts w:ascii="宋体" w:eastAsia="宋体" w:hAnsi="宋体" w:hint="eastAsia"/>
          <w:bCs/>
          <w:sz w:val="24"/>
        </w:rPr>
        <w:t>0.</w:t>
      </w:r>
      <w:r>
        <w:rPr>
          <w:rFonts w:ascii="宋体" w:eastAsia="宋体" w:hAnsi="宋体"/>
          <w:bCs/>
          <w:sz w:val="24"/>
        </w:rPr>
        <w:t>15</w:t>
      </w:r>
      <w:r>
        <w:rPr>
          <w:rFonts w:ascii="宋体" w:eastAsia="宋体" w:hAnsi="宋体"/>
          <w:sz w:val="24"/>
        </w:rPr>
        <w:t>%÷当年天数</w:t>
      </w:r>
    </w:p>
    <w:p w14:paraId="0CFACE1E"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H为每日应计提的基金托管费</w:t>
      </w:r>
    </w:p>
    <w:p w14:paraId="0CC201C9" w14:textId="77777777" w:rsidR="00691EA2" w:rsidRDefault="00F874ED">
      <w:pPr>
        <w:spacing w:line="360" w:lineRule="auto"/>
        <w:ind w:firstLineChars="200" w:firstLine="480"/>
        <w:rPr>
          <w:rFonts w:ascii="宋体" w:eastAsia="宋体" w:hAnsi="宋体" w:cs="Times New Roman"/>
          <w:sz w:val="24"/>
          <w:szCs w:val="20"/>
        </w:rPr>
      </w:pPr>
      <w:r>
        <w:rPr>
          <w:rFonts w:ascii="宋体" w:eastAsia="宋体" w:hAnsi="宋体"/>
          <w:sz w:val="24"/>
        </w:rPr>
        <w:t>E为前一日的基金资产净值</w:t>
      </w:r>
    </w:p>
    <w:p w14:paraId="09CB27EE"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hint="eastAsia"/>
          <w:bCs/>
          <w:sz w:val="24"/>
        </w:rPr>
        <w:t>（三）基金销售服务费的计提比例和计提方法</w:t>
      </w:r>
    </w:p>
    <w:p w14:paraId="51C799DF"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本基金A类基金份额不收取销售服务费，C类基金份额的销售服务费年费率为0.40%</w:t>
      </w:r>
      <w:r>
        <w:rPr>
          <w:rFonts w:ascii="宋体" w:eastAsia="宋体" w:hAnsi="宋体" w:cs="Arial" w:hint="eastAsia"/>
          <w:bCs/>
          <w:sz w:val="24"/>
        </w:rPr>
        <w:t>。</w:t>
      </w:r>
      <w:r>
        <w:rPr>
          <w:rFonts w:ascii="宋体" w:eastAsia="宋体" w:hAnsi="宋体" w:cs="Arial"/>
          <w:bCs/>
          <w:sz w:val="24"/>
        </w:rPr>
        <w:t>本基金销售服务费将专门用于本基金的市场推广、销售与基金份额持有人服务。</w:t>
      </w:r>
    </w:p>
    <w:p w14:paraId="7166D3A1" w14:textId="77777777" w:rsidR="00691EA2" w:rsidRDefault="00F874ED">
      <w:pPr>
        <w:adjustRightInd w:val="0"/>
        <w:snapToGrid w:val="0"/>
        <w:spacing w:line="400" w:lineRule="exact"/>
        <w:ind w:firstLineChars="200" w:firstLine="480"/>
        <w:rPr>
          <w:rFonts w:ascii="宋体" w:eastAsia="宋体" w:hAnsi="宋体" w:cs="Arial"/>
          <w:bCs/>
          <w:sz w:val="24"/>
        </w:rPr>
      </w:pPr>
      <w:r>
        <w:rPr>
          <w:rFonts w:ascii="宋体" w:eastAsia="宋体" w:hAnsi="宋体" w:cs="Arial"/>
          <w:bCs/>
          <w:sz w:val="24"/>
        </w:rPr>
        <w:t>C类基金份额的销售服务费按前一日C类基金份额资产净值的</w:t>
      </w:r>
      <w:r>
        <w:rPr>
          <w:rFonts w:ascii="宋体" w:eastAsia="宋体" w:hAnsi="宋体" w:cs="Arial" w:hint="eastAsia"/>
          <w:bCs/>
          <w:sz w:val="24"/>
        </w:rPr>
        <w:t>0.</w:t>
      </w:r>
      <w:r>
        <w:rPr>
          <w:rFonts w:ascii="宋体" w:eastAsia="宋体" w:hAnsi="宋体" w:cs="Arial"/>
          <w:bCs/>
          <w:sz w:val="24"/>
        </w:rPr>
        <w:t>40%年费率计提。计算方法如下：</w:t>
      </w:r>
      <w:r>
        <w:rPr>
          <w:rFonts w:ascii="宋体" w:eastAsia="宋体" w:hAnsi="宋体" w:cs="Arial"/>
          <w:bCs/>
          <w:sz w:val="24"/>
        </w:rPr>
        <w:br/>
        <w:t xml:space="preserve">    H＝E×</w:t>
      </w:r>
      <w:r>
        <w:rPr>
          <w:rFonts w:ascii="宋体" w:eastAsia="宋体" w:hAnsi="宋体" w:cs="Arial" w:hint="eastAsia"/>
          <w:bCs/>
          <w:sz w:val="24"/>
        </w:rPr>
        <w:t>0.</w:t>
      </w:r>
      <w:r>
        <w:rPr>
          <w:rFonts w:ascii="宋体" w:eastAsia="宋体" w:hAnsi="宋体" w:cs="Arial"/>
          <w:bCs/>
          <w:sz w:val="24"/>
        </w:rPr>
        <w:t>40%÷当年天数</w:t>
      </w:r>
      <w:r>
        <w:rPr>
          <w:rFonts w:ascii="宋体" w:eastAsia="宋体" w:hAnsi="宋体" w:cs="Arial"/>
          <w:bCs/>
          <w:sz w:val="24"/>
        </w:rPr>
        <w:br/>
        <w:t xml:space="preserve">    H 为C类基金份额每日应计提的销售服务费</w:t>
      </w:r>
      <w:r>
        <w:rPr>
          <w:rFonts w:ascii="宋体" w:eastAsia="宋体" w:hAnsi="宋体" w:cs="Arial"/>
          <w:bCs/>
          <w:sz w:val="24"/>
        </w:rPr>
        <w:br/>
        <w:t xml:space="preserve">    E 为C类基金份额前一日基金资产净值</w:t>
      </w:r>
    </w:p>
    <w:bookmarkEnd w:id="110"/>
    <w:p w14:paraId="10D1BC9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（四）基金的账户开户费用和账户维护费、基金的证券、期货</w:t>
      </w:r>
      <w:r w:rsidR="00CD3FAA" w:rsidRPr="00CD3FAA">
        <w:rPr>
          <w:rFonts w:ascii="宋体" w:eastAsia="宋体" w:hAnsi="宋体" w:cs="Arial" w:hint="eastAsia"/>
          <w:sz w:val="24"/>
        </w:rPr>
        <w:t>、股票期权</w:t>
      </w:r>
      <w:r>
        <w:rPr>
          <w:rFonts w:ascii="宋体" w:eastAsia="宋体" w:hAnsi="宋体" w:cs="Arial" w:hint="eastAsia"/>
          <w:sz w:val="24"/>
        </w:rPr>
        <w:t>交易费用、投资港股通标的股票的相关费用、基金的银行汇划费用、《基金合同》生效后与基金相关的信息披露费用、基金份额持有人大会费用、</w:t>
      </w:r>
      <w:r w:rsidR="00CD3FAA" w:rsidRPr="00CD3FAA">
        <w:rPr>
          <w:rFonts w:ascii="宋体" w:eastAsia="宋体" w:hAnsi="宋体" w:cs="Arial" w:hint="eastAsia"/>
          <w:sz w:val="24"/>
        </w:rPr>
        <w:t>因参与转融通证券出借业务而产生的各项合理费用</w:t>
      </w:r>
      <w:r w:rsidR="00CD3FAA">
        <w:rPr>
          <w:rFonts w:ascii="宋体" w:eastAsia="宋体" w:hAnsi="宋体" w:cs="Arial" w:hint="eastAsia"/>
          <w:sz w:val="24"/>
        </w:rPr>
        <w:t>、</w:t>
      </w:r>
      <w:r>
        <w:rPr>
          <w:rFonts w:ascii="宋体" w:eastAsia="宋体" w:hAnsi="宋体" w:cs="Arial" w:hint="eastAsia"/>
          <w:sz w:val="24"/>
        </w:rPr>
        <w:t>《基金合同》生效后与基金相关的会计师费、律师费、仲裁费和诉讼费等根据有关法律法规、《基金合同》及相应协议的规定，列入当期基金费用。</w:t>
      </w:r>
    </w:p>
    <w:p w14:paraId="593D3630"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（五）不列入基金费用的项目</w:t>
      </w:r>
    </w:p>
    <w:p w14:paraId="1C54ABE7"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下列费用不列入基金费用：</w:t>
      </w:r>
    </w:p>
    <w:p w14:paraId="775375EF" w14:textId="77777777" w:rsidR="00691EA2" w:rsidRDefault="00F874ED">
      <w:pPr>
        <w:adjustRightInd w:val="0"/>
        <w:snapToGrid w:val="0"/>
        <w:spacing w:line="400" w:lineRule="exact"/>
        <w:ind w:firstLine="480"/>
        <w:rPr>
          <w:rFonts w:ascii="宋体" w:eastAsia="宋体" w:hAnsi="宋体" w:cs="Arial"/>
          <w:sz w:val="24"/>
        </w:rPr>
      </w:pPr>
      <w:bookmarkStart w:id="111" w:name="_Hlk163671894"/>
      <w:r>
        <w:rPr>
          <w:rFonts w:ascii="宋体" w:eastAsia="宋体" w:hAnsi="宋体" w:cs="Arial"/>
          <w:sz w:val="24"/>
        </w:rPr>
        <w:t>1</w:t>
      </w:r>
      <w:r>
        <w:rPr>
          <w:rFonts w:ascii="宋体" w:eastAsia="宋体" w:hAnsi="宋体" w:cs="Arial" w:hint="eastAsia"/>
          <w:sz w:val="24"/>
        </w:rPr>
        <w:t>、基金管理人和基金托管人因未履行或未完全履行义务导致的费用支出或基</w:t>
      </w:r>
      <w:r>
        <w:rPr>
          <w:rFonts w:ascii="宋体" w:eastAsia="宋体" w:hAnsi="宋体" w:cs="Arial" w:hint="eastAsia"/>
          <w:sz w:val="24"/>
        </w:rPr>
        <w:lastRenderedPageBreak/>
        <w:t>金财产的损失；</w:t>
      </w:r>
    </w:p>
    <w:p w14:paraId="57E05AC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2</w:t>
      </w:r>
      <w:r>
        <w:rPr>
          <w:rFonts w:ascii="宋体" w:eastAsia="宋体" w:hAnsi="宋体" w:cs="Arial" w:hint="eastAsia"/>
          <w:sz w:val="24"/>
        </w:rPr>
        <w:t>、基金管理人和基金托管人处理与基金运作无关的事项发生的费用；</w:t>
      </w:r>
    </w:p>
    <w:p w14:paraId="5507F915"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3</w:t>
      </w:r>
      <w:r>
        <w:rPr>
          <w:rFonts w:ascii="宋体" w:eastAsia="宋体" w:hAnsi="宋体" w:cs="Arial" w:hint="eastAsia"/>
          <w:sz w:val="24"/>
        </w:rPr>
        <w:t>、基金合同生效前的相关费用；</w:t>
      </w:r>
    </w:p>
    <w:p w14:paraId="2DEB8494" w14:textId="77777777" w:rsidR="00F14306" w:rsidRDefault="00F874ED">
      <w:pPr>
        <w:adjustRightInd w:val="0"/>
        <w:snapToGrid w:val="0"/>
        <w:spacing w:line="400" w:lineRule="exact"/>
        <w:ind w:firstLine="480"/>
        <w:rPr>
          <w:rFonts w:ascii="宋体" w:eastAsia="宋体" w:hAnsi="宋体" w:cs="Arial"/>
          <w:sz w:val="24"/>
        </w:rPr>
      </w:pPr>
      <w:r>
        <w:rPr>
          <w:rFonts w:ascii="宋体" w:eastAsia="宋体" w:hAnsi="宋体" w:cs="Arial"/>
          <w:sz w:val="24"/>
        </w:rPr>
        <w:t>4</w:t>
      </w:r>
      <w:r>
        <w:rPr>
          <w:rFonts w:ascii="宋体" w:eastAsia="宋体" w:hAnsi="宋体" w:cs="Arial" w:hint="eastAsia"/>
          <w:sz w:val="24"/>
        </w:rPr>
        <w:t>、</w:t>
      </w:r>
      <w:r w:rsidR="00F14306" w:rsidRPr="00F14306">
        <w:rPr>
          <w:rFonts w:ascii="宋体" w:eastAsia="宋体" w:hAnsi="宋体" w:cs="Arial" w:hint="eastAsia"/>
          <w:sz w:val="24"/>
        </w:rPr>
        <w:t>标的指数许可使用费。标的指数许可使用费由基金管理人承担，不得从基金财产中列支；</w:t>
      </w:r>
    </w:p>
    <w:p w14:paraId="3F49F576" w14:textId="77777777" w:rsidR="00691EA2" w:rsidRDefault="00F14306">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5、</w:t>
      </w:r>
      <w:r w:rsidR="00F874ED">
        <w:rPr>
          <w:rFonts w:ascii="宋体" w:eastAsia="宋体" w:hAnsi="宋体" w:cs="Arial" w:hint="eastAsia"/>
          <w:sz w:val="24"/>
        </w:rPr>
        <w:t>其他根据相关法律法规及中国证监会的有关规定不得列入基金费用的项目。</w:t>
      </w:r>
      <w:bookmarkStart w:id="112" w:name="_Hlt88827255"/>
      <w:bookmarkEnd w:id="112"/>
    </w:p>
    <w:bookmarkEnd w:id="111"/>
    <w:p w14:paraId="135A8597"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（六）基金管理费、基金托管费和C类基金销售服务费的复核程序、支付方式和时间</w:t>
      </w:r>
    </w:p>
    <w:p w14:paraId="12C39D8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1.复核程序</w:t>
      </w:r>
    </w:p>
    <w:p w14:paraId="757F8CF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基金托管人对基金管理人计提的基金管理费、基金托管费和基金销售服务费等，根据本托管协议和《基金合同》的有关规定进行复核。</w:t>
      </w:r>
    </w:p>
    <w:p w14:paraId="395118F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2.支付方式和时间</w:t>
      </w:r>
    </w:p>
    <w:p w14:paraId="7738493F" w14:textId="77777777" w:rsidR="00691EA2" w:rsidRDefault="00F874ED">
      <w:pPr>
        <w:adjustRightInd w:val="0"/>
        <w:snapToGrid w:val="0"/>
        <w:spacing w:line="400" w:lineRule="exact"/>
        <w:ind w:firstLineChars="200" w:firstLine="480"/>
        <w:rPr>
          <w:rFonts w:ascii="宋体" w:eastAsia="宋体" w:hAnsi="宋体" w:cs="Arial"/>
          <w:sz w:val="24"/>
        </w:rPr>
      </w:pPr>
      <w:bookmarkStart w:id="113" w:name="_Hlk529287481"/>
      <w:r>
        <w:rPr>
          <w:rFonts w:ascii="宋体" w:eastAsia="宋体" w:hAnsi="宋体" w:cs="Arial" w:hint="eastAsia"/>
          <w:sz w:val="24"/>
        </w:rPr>
        <w:t>基金管理费、基金托管费、基金销售服务费</w:t>
      </w:r>
      <w:bookmarkStart w:id="114" w:name="_Hlk164675647"/>
      <w:r>
        <w:rPr>
          <w:rFonts w:ascii="宋体" w:eastAsia="宋体" w:hAnsi="宋体" w:cs="Arial" w:hint="eastAsia"/>
          <w:sz w:val="24"/>
        </w:rPr>
        <w:t>每日计算，逐日累计至每月月末，按月支付。</w:t>
      </w:r>
      <w:bookmarkStart w:id="115" w:name="OLE_LINK7"/>
      <w:bookmarkStart w:id="116" w:name="OLE_LINK8"/>
      <w:r>
        <w:rPr>
          <w:rFonts w:ascii="宋体" w:eastAsia="宋体" w:hAnsi="宋体" w:cs="Arial" w:hint="eastAsia"/>
          <w:sz w:val="24"/>
        </w:rPr>
        <w:t>由基金托管人根据与基金管理人核对一致的财务数据，自动在月初</w:t>
      </w:r>
      <w:r>
        <w:rPr>
          <w:rFonts w:ascii="宋体" w:eastAsia="宋体" w:hAnsi="宋体" w:cs="Arial"/>
          <w:sz w:val="24"/>
        </w:rPr>
        <w:t>5个工作日内、按照</w:t>
      </w:r>
      <w:r>
        <w:rPr>
          <w:rFonts w:ascii="宋体" w:eastAsia="宋体" w:hAnsi="宋体" w:cs="Arial" w:hint="eastAsia"/>
          <w:sz w:val="24"/>
        </w:rPr>
        <w:t>指</w:t>
      </w:r>
      <w:r>
        <w:rPr>
          <w:rFonts w:ascii="宋体" w:eastAsia="宋体" w:hAnsi="宋体" w:cs="Arial"/>
          <w:sz w:val="24"/>
        </w:rPr>
        <w:t>定的账户路径进行资金支付，</w:t>
      </w:r>
      <w:r>
        <w:rPr>
          <w:rFonts w:ascii="宋体" w:eastAsia="宋体" w:hAnsi="宋体" w:cs="Arial" w:hint="eastAsia"/>
          <w:sz w:val="24"/>
        </w:rPr>
        <w:t>基金管理人无需再出具资金划拨指令。若遇法定节假日、休息日或不可抗力致使无法按时支付的，支付日期顺延。费用自动扣划后，基金管理人应进行核对，如发现数据不符，及时联系基金托管人协商解决。</w:t>
      </w:r>
      <w:bookmarkEnd w:id="114"/>
      <w:bookmarkEnd w:id="115"/>
      <w:bookmarkEnd w:id="116"/>
    </w:p>
    <w:p w14:paraId="455EDD9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在首期支付基金管理费、销售服务费前，基金管理人应向基金托管人出具正式函件指定基金管理费、销售服务费的收款账户。基金管理人如需要变更此账户，应提前</w:t>
      </w:r>
      <w:r>
        <w:rPr>
          <w:rFonts w:ascii="宋体" w:eastAsia="宋体" w:hAnsi="宋体" w:cs="Arial"/>
          <w:sz w:val="24"/>
        </w:rPr>
        <w:t>5个工作日向基金托管人出具书面的收款账户变更通知。</w:t>
      </w:r>
    </w:p>
    <w:bookmarkEnd w:id="113"/>
    <w:p w14:paraId="6367AC5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（七）违规处理方式</w:t>
      </w:r>
    </w:p>
    <w:p w14:paraId="1B4A7DB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3C48FB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（八）实施侧袋机制期间的基金费用</w:t>
      </w:r>
    </w:p>
    <w:p w14:paraId="76CB5ED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730135E4" w14:textId="77777777" w:rsidR="00691EA2" w:rsidRDefault="00691EA2">
      <w:pPr>
        <w:adjustRightInd w:val="0"/>
        <w:snapToGrid w:val="0"/>
        <w:spacing w:line="400" w:lineRule="exact"/>
        <w:ind w:firstLineChars="200" w:firstLine="480"/>
        <w:rPr>
          <w:rFonts w:ascii="宋体" w:eastAsia="宋体" w:hAnsi="宋体" w:cs="Arial"/>
          <w:sz w:val="24"/>
        </w:rPr>
      </w:pPr>
    </w:p>
    <w:p w14:paraId="107D4E10"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32287462" w14:textId="77777777" w:rsidR="00691EA2" w:rsidRDefault="00691EA2">
      <w:pPr>
        <w:adjustRightInd w:val="0"/>
        <w:snapToGrid w:val="0"/>
        <w:spacing w:line="400" w:lineRule="exact"/>
        <w:rPr>
          <w:rFonts w:ascii="宋体" w:eastAsia="宋体" w:hAnsi="宋体" w:cs="Arial"/>
          <w:sz w:val="24"/>
        </w:rPr>
      </w:pPr>
    </w:p>
    <w:p w14:paraId="5505B2C2" w14:textId="77777777" w:rsidR="00691EA2" w:rsidRDefault="00F874ED">
      <w:pPr>
        <w:pStyle w:val="2"/>
        <w:spacing w:line="400" w:lineRule="exact"/>
        <w:jc w:val="center"/>
        <w:rPr>
          <w:rFonts w:ascii="宋体" w:eastAsia="宋体" w:hAnsi="宋体"/>
          <w:sz w:val="30"/>
        </w:rPr>
      </w:pPr>
      <w:bookmarkStart w:id="117" w:name="_Toc124325896"/>
      <w:r>
        <w:rPr>
          <w:rFonts w:ascii="宋体" w:eastAsia="宋体" w:hAnsi="宋体" w:hint="eastAsia"/>
          <w:sz w:val="30"/>
        </w:rPr>
        <w:t>十二、基金份额持有人名册的保管</w:t>
      </w:r>
      <w:bookmarkEnd w:id="117"/>
    </w:p>
    <w:p w14:paraId="56A7B08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律法规规定的最低期限。如不能妥善保管，则按相关法规承担责任。</w:t>
      </w:r>
    </w:p>
    <w:p w14:paraId="7A2C85D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在基金托管人要求或编制中期报告和年报前，基金管理人应将有关资料送交基金托管人，不得无故拒绝或延误提供，并保证其真实性、准确性和完整性。</w:t>
      </w:r>
      <w:r>
        <w:rPr>
          <w:rFonts w:ascii="宋体" w:eastAsia="宋体" w:hAnsi="宋体" w:hint="eastAsia"/>
          <w:kern w:val="0"/>
          <w:sz w:val="24"/>
        </w:rPr>
        <w:t>基金托管人不得将所保管的基金份额持有人名册用于基金托管业务以外的其他用途，并应遵守保密义务。</w:t>
      </w:r>
    </w:p>
    <w:p w14:paraId="19172535"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27FB1A3A" w14:textId="77777777" w:rsidR="00691EA2" w:rsidRDefault="00691EA2">
      <w:pPr>
        <w:adjustRightInd w:val="0"/>
        <w:snapToGrid w:val="0"/>
        <w:spacing w:line="400" w:lineRule="exact"/>
        <w:rPr>
          <w:rFonts w:ascii="宋体" w:eastAsia="宋体" w:hAnsi="宋体" w:cs="Arial"/>
          <w:sz w:val="24"/>
        </w:rPr>
      </w:pPr>
    </w:p>
    <w:p w14:paraId="6729F0D8" w14:textId="77777777" w:rsidR="00691EA2" w:rsidRDefault="00F874ED">
      <w:pPr>
        <w:pStyle w:val="2"/>
        <w:spacing w:line="400" w:lineRule="exact"/>
        <w:jc w:val="center"/>
        <w:rPr>
          <w:rFonts w:ascii="宋体" w:eastAsia="宋体" w:hAnsi="宋体"/>
          <w:sz w:val="30"/>
        </w:rPr>
      </w:pPr>
      <w:bookmarkStart w:id="118" w:name="_Toc124325897"/>
      <w:r>
        <w:rPr>
          <w:rFonts w:ascii="宋体" w:eastAsia="宋体" w:hAnsi="宋体" w:hint="eastAsia"/>
          <w:sz w:val="30"/>
        </w:rPr>
        <w:t>十三、基金有关文件档案的保存</w:t>
      </w:r>
      <w:bookmarkEnd w:id="118"/>
    </w:p>
    <w:p w14:paraId="4F097D23"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（一）档案保存</w:t>
      </w:r>
    </w:p>
    <w:p w14:paraId="3A128C6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74A1C381"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（二）合同档案的建立</w:t>
      </w:r>
    </w:p>
    <w:p w14:paraId="7CD61582"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1.基金管理人签署重大合同文本后，应及时将合同文本正本送达基金托管人处。</w:t>
      </w:r>
    </w:p>
    <w:p w14:paraId="3C0420E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2.基金管理人应及时将与本基金账务处理、资金划拨等有关的合同、协议传真基金托管人。</w:t>
      </w:r>
    </w:p>
    <w:p w14:paraId="056FF1F4"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（三）变更与协助</w:t>
      </w:r>
    </w:p>
    <w:p w14:paraId="32A1C68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若基金管理人/基金托管人发生变更，未变更的一方有义务协助变更后的接任人接收相应文件。</w:t>
      </w:r>
    </w:p>
    <w:p w14:paraId="034AEFC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（四）基金管理人和基金托管人应按各自职责完整保存原始凭证、记账凭证、基金账册、交易记录和重要合同等，承担保密义务并保存不低于法律法规规定的最低期限。</w:t>
      </w:r>
    </w:p>
    <w:p w14:paraId="6CDE90D8" w14:textId="77777777" w:rsidR="00691EA2" w:rsidRDefault="00F874ED">
      <w:pPr>
        <w:widowControl/>
        <w:jc w:val="left"/>
        <w:rPr>
          <w:rFonts w:ascii="宋体" w:eastAsia="宋体" w:hAnsi="宋体"/>
          <w:sz w:val="30"/>
          <w:szCs w:val="30"/>
        </w:rPr>
      </w:pPr>
      <w:r>
        <w:rPr>
          <w:rFonts w:ascii="宋体" w:eastAsia="宋体" w:hAnsi="宋体"/>
          <w:sz w:val="30"/>
          <w:szCs w:val="30"/>
        </w:rPr>
        <w:br w:type="page"/>
      </w:r>
    </w:p>
    <w:p w14:paraId="31679499" w14:textId="77777777" w:rsidR="00691EA2" w:rsidRDefault="00691EA2">
      <w:pPr>
        <w:adjustRightInd w:val="0"/>
        <w:snapToGrid w:val="0"/>
        <w:spacing w:line="400" w:lineRule="exact"/>
        <w:rPr>
          <w:rFonts w:ascii="宋体" w:eastAsia="宋体" w:hAnsi="宋体"/>
          <w:sz w:val="30"/>
          <w:szCs w:val="30"/>
        </w:rPr>
      </w:pPr>
    </w:p>
    <w:p w14:paraId="6DBC922A" w14:textId="77777777" w:rsidR="00691EA2" w:rsidRDefault="00F874ED">
      <w:pPr>
        <w:pStyle w:val="2"/>
        <w:spacing w:line="400" w:lineRule="exact"/>
        <w:jc w:val="center"/>
        <w:rPr>
          <w:rFonts w:ascii="宋体" w:eastAsia="宋体" w:hAnsi="宋体"/>
          <w:sz w:val="30"/>
        </w:rPr>
      </w:pPr>
      <w:bookmarkStart w:id="119" w:name="_Toc124325898"/>
      <w:r>
        <w:rPr>
          <w:rFonts w:ascii="宋体" w:eastAsia="宋体" w:hAnsi="宋体" w:hint="eastAsia"/>
          <w:sz w:val="30"/>
        </w:rPr>
        <w:t>十四、基金管理人和基金托管人的更换</w:t>
      </w:r>
      <w:bookmarkEnd w:id="119"/>
    </w:p>
    <w:p w14:paraId="76403444" w14:textId="77777777" w:rsidR="00691EA2" w:rsidRDefault="00F874ED">
      <w:pPr>
        <w:adjustRightInd w:val="0"/>
        <w:snapToGrid w:val="0"/>
        <w:spacing w:line="400" w:lineRule="exact"/>
        <w:ind w:firstLineChars="200" w:firstLine="480"/>
        <w:rPr>
          <w:rFonts w:ascii="宋体" w:eastAsia="宋体" w:hAnsi="宋体" w:cs="Arial"/>
          <w:sz w:val="24"/>
        </w:rPr>
      </w:pPr>
      <w:bookmarkStart w:id="120" w:name="_Hlk163671967"/>
      <w:r>
        <w:rPr>
          <w:rFonts w:ascii="宋体" w:eastAsia="宋体" w:hAnsi="宋体" w:cs="Arial" w:hint="eastAsia"/>
          <w:sz w:val="24"/>
        </w:rPr>
        <w:t>（一）基金管理人职责终止的情形</w:t>
      </w:r>
    </w:p>
    <w:p w14:paraId="1821FAD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1.基金管理人职责终止的情形</w:t>
      </w:r>
    </w:p>
    <w:p w14:paraId="6AA0870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有下列情形之一的，基金管理人职责终止：</w:t>
      </w:r>
    </w:p>
    <w:p w14:paraId="2B692CF4"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(1)被依法取消基金管理资格；</w:t>
      </w:r>
    </w:p>
    <w:p w14:paraId="7CEE477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(2)依法解散、被依法撤销或被依法宣告破产；</w:t>
      </w:r>
    </w:p>
    <w:p w14:paraId="5C3843E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(3)被基金份额持有人大会解任；</w:t>
      </w:r>
    </w:p>
    <w:p w14:paraId="759193B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(4)法律法规及中国证监会规定的和《基金合同》约定的其他情形。</w:t>
      </w:r>
    </w:p>
    <w:p w14:paraId="6CDCA00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2.基金管理人的更换程序</w:t>
      </w:r>
    </w:p>
    <w:p w14:paraId="66F52B8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更换基金管理人必须依照如下程序进行：</w:t>
      </w:r>
    </w:p>
    <w:p w14:paraId="6692B56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(1)提名：新任基金管理人由基金托管人</w:t>
      </w:r>
      <w:r>
        <w:rPr>
          <w:rFonts w:ascii="宋体" w:eastAsia="宋体" w:hAnsi="宋体" w:hint="eastAsia"/>
          <w:sz w:val="24"/>
        </w:rPr>
        <w:t>或由单独或合计持有10%以上(含10%)基金份额的基金份额持有人</w:t>
      </w:r>
      <w:r>
        <w:rPr>
          <w:rFonts w:ascii="宋体" w:eastAsia="宋体" w:hAnsi="宋体" w:cs="Arial" w:hint="eastAsia"/>
          <w:sz w:val="24"/>
        </w:rPr>
        <w:t>提名；</w:t>
      </w:r>
    </w:p>
    <w:p w14:paraId="2546EDF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14:paraId="2D23EEA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(3)临时基金管理人：新任基金管理人产生之前，由中国证监会指定临时基金管理人；</w:t>
      </w:r>
    </w:p>
    <w:p w14:paraId="56865E6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(4)备案：基金份额持有人大会更换基金管理人的决议须报中国证监会备案；</w:t>
      </w:r>
    </w:p>
    <w:p w14:paraId="7BE1171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(5)公告：基金管理人更换后，由基金托管人在更换基金管理人的基金份额持有人大会决议生效后2日内在规定媒介公告；</w:t>
      </w:r>
    </w:p>
    <w:p w14:paraId="053FE6F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净值信息；</w:t>
      </w:r>
    </w:p>
    <w:p w14:paraId="7F8C2CE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(7)审计：基金管理人职责终止的，应当按照法律法规规定聘请会计师事务所对基金财产进行审计，并将审计结果予以公告，同时报中国证监会备案</w:t>
      </w:r>
      <w:r>
        <w:rPr>
          <w:rFonts w:ascii="宋体" w:eastAsia="宋体" w:hAnsi="宋体" w:cs="Arial" w:hint="eastAsia"/>
          <w:sz w:val="24"/>
          <w:szCs w:val="24"/>
        </w:rPr>
        <w:t>，审计费用在基金财产中列支</w:t>
      </w:r>
      <w:r>
        <w:rPr>
          <w:rFonts w:ascii="宋体" w:eastAsia="宋体" w:hAnsi="宋体" w:cs="Arial" w:hint="eastAsia"/>
          <w:sz w:val="24"/>
        </w:rPr>
        <w:t>；</w:t>
      </w:r>
    </w:p>
    <w:p w14:paraId="3FA47DD4" w14:textId="77777777" w:rsidR="00691EA2" w:rsidRDefault="00F874ED">
      <w:pPr>
        <w:adjustRightInd w:val="0"/>
        <w:snapToGrid w:val="0"/>
        <w:spacing w:line="400" w:lineRule="exact"/>
        <w:ind w:firstLineChars="200" w:firstLine="480"/>
        <w:rPr>
          <w:rFonts w:ascii="宋体" w:eastAsia="宋体" w:hAnsi="宋体"/>
          <w:sz w:val="30"/>
          <w:szCs w:val="30"/>
        </w:rPr>
      </w:pPr>
      <w:r>
        <w:rPr>
          <w:rFonts w:ascii="宋体" w:eastAsia="宋体" w:hAnsi="宋体" w:cs="Arial" w:hint="eastAsia"/>
          <w:sz w:val="24"/>
        </w:rPr>
        <w:t>(8)基金名称变更：基金管理人更换后，如果原任或新任基金管理人要求，应按其要求替换或删除基金名称中与原基金管理人有关的名称字样。</w:t>
      </w:r>
    </w:p>
    <w:p w14:paraId="247C001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（二）基金托管人职责终止的情形</w:t>
      </w:r>
    </w:p>
    <w:p w14:paraId="441B3BA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1.基金托管人职责终止的情形</w:t>
      </w:r>
    </w:p>
    <w:p w14:paraId="63CD623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有下列情形之一的，基金托管人职责终止：</w:t>
      </w:r>
    </w:p>
    <w:p w14:paraId="593CE5C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lastRenderedPageBreak/>
        <w:t>(1)被依法取消基金托管资格；</w:t>
      </w:r>
    </w:p>
    <w:p w14:paraId="1048571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(2)依法解散、被依法撤销或被依法宣告破产；</w:t>
      </w:r>
    </w:p>
    <w:p w14:paraId="4242E07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(3)被基金份额持有人大会解任；</w:t>
      </w:r>
    </w:p>
    <w:p w14:paraId="1AAAAC9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(4)法律法规及中国证监会规定的和《基金合同》约定的其他情形。</w:t>
      </w:r>
    </w:p>
    <w:p w14:paraId="20AB275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2.基金托管人的更换程序</w:t>
      </w:r>
    </w:p>
    <w:p w14:paraId="6112222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(1)提名：新任基金托管人由基金管理人</w:t>
      </w:r>
      <w:r>
        <w:rPr>
          <w:rFonts w:ascii="宋体" w:eastAsia="宋体" w:hAnsi="宋体" w:hint="eastAsia"/>
          <w:sz w:val="24"/>
        </w:rPr>
        <w:t>或由单独或合计持有10%以上(含10%)基金份额的基金份额持有人</w:t>
      </w:r>
      <w:r>
        <w:rPr>
          <w:rFonts w:ascii="宋体" w:eastAsia="宋体" w:hAnsi="宋体" w:cs="Arial" w:hint="eastAsia"/>
          <w:sz w:val="24"/>
        </w:rPr>
        <w:t>提名；</w:t>
      </w:r>
    </w:p>
    <w:p w14:paraId="0FB6212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14:paraId="59233C0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(3)临时基金托管人：新任基金托管人产生之前，由中国证监会指定临时基金托管人；</w:t>
      </w:r>
    </w:p>
    <w:p w14:paraId="37C27E0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(4)备案：基金份额持有人大会更换基金托管人的决议须报中国证监会备案；</w:t>
      </w:r>
    </w:p>
    <w:p w14:paraId="3B68E5A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(5)公告：基金托管人更换后，由基金管理人在更换基金托管人的基金份额持有人大会决议生效后 2日内在规定媒介公告；</w:t>
      </w:r>
    </w:p>
    <w:p w14:paraId="423FD43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净值信息；</w:t>
      </w:r>
    </w:p>
    <w:p w14:paraId="25BE49C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(7)审计：基金托管人职责终止的，应当按照法律法规规定聘请会计师事务所对基金财产进行审计，并将审计结果予以公告，同时报中国证监会备案</w:t>
      </w:r>
      <w:r>
        <w:rPr>
          <w:rFonts w:ascii="宋体" w:eastAsia="宋体" w:hAnsi="宋体" w:cs="Arial" w:hint="eastAsia"/>
          <w:sz w:val="24"/>
          <w:szCs w:val="24"/>
        </w:rPr>
        <w:t>，审计费用在基金财产中列支</w:t>
      </w:r>
      <w:r>
        <w:rPr>
          <w:rFonts w:ascii="宋体" w:eastAsia="宋体" w:hAnsi="宋体" w:cs="Arial" w:hint="eastAsia"/>
          <w:sz w:val="24"/>
        </w:rPr>
        <w:t>。</w:t>
      </w:r>
    </w:p>
    <w:p w14:paraId="10214FC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（三）基金管理人与基金托管人同时更换的条件和程序</w:t>
      </w:r>
    </w:p>
    <w:p w14:paraId="68FE622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1.提名：如果基金管理人和基金托管人同时更换，由单独或合计持有基金总份额10%以上(含10%)的基金份额持有人提名新的基金管理人和基金托管人；</w:t>
      </w:r>
    </w:p>
    <w:p w14:paraId="020767D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2.基金管理人和基金托管人的更换分别按上述程序进行；</w:t>
      </w:r>
    </w:p>
    <w:p w14:paraId="7127E43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3.公告：新任基金管理人和新任基金托管人应在更换基金管理人和基金托管人的基金份额持有人大会决议生效后2日内在规定媒介上联合公告。</w:t>
      </w:r>
    </w:p>
    <w:p w14:paraId="226A2F6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四）新基金管理人或临时基金管理人接收基金管理业务，或新基金管理人或临时基金托管人接收基金财产和基金托管业务前，原基金管理人或原基金托管人应继续履行相关职责，并保证不做出对基金份额持有人的利益造成损害的行为。</w:t>
      </w:r>
      <w:r>
        <w:rPr>
          <w:rFonts w:ascii="宋体" w:eastAsia="宋体" w:hAnsi="宋体" w:cs="Arial" w:hint="eastAsia"/>
          <w:sz w:val="24"/>
          <w:szCs w:val="24"/>
        </w:rPr>
        <w:t>原基金管理人或原基金托管人在继续履行相关职责期间，仍有权按照基金合同的规定收取基金管理费或基金托管费。</w:t>
      </w:r>
    </w:p>
    <w:bookmarkEnd w:id="120"/>
    <w:p w14:paraId="5EA8654B"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7D42CBE7" w14:textId="77777777" w:rsidR="00691EA2" w:rsidRDefault="00F874ED">
      <w:pPr>
        <w:pStyle w:val="2"/>
        <w:spacing w:line="400" w:lineRule="exact"/>
        <w:jc w:val="center"/>
        <w:rPr>
          <w:rFonts w:ascii="宋体" w:eastAsia="宋体" w:hAnsi="宋体"/>
          <w:sz w:val="30"/>
        </w:rPr>
      </w:pPr>
      <w:bookmarkStart w:id="121" w:name="_Toc124325899"/>
      <w:r>
        <w:rPr>
          <w:rFonts w:ascii="宋体" w:eastAsia="宋体" w:hAnsi="宋体" w:hint="eastAsia"/>
          <w:sz w:val="30"/>
        </w:rPr>
        <w:lastRenderedPageBreak/>
        <w:t>十五、禁止行为</w:t>
      </w:r>
      <w:bookmarkEnd w:id="121"/>
    </w:p>
    <w:p w14:paraId="06955F12"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本协议当事人禁止从事的行为，包括但不限于：</w:t>
      </w:r>
    </w:p>
    <w:p w14:paraId="2B6CFCA6"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（一）基金管理人、基金托管人将其固有财产或者他人财产混同于基金财产从事证券投资。</w:t>
      </w:r>
    </w:p>
    <w:p w14:paraId="0F252E3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（二）基金管理人不公平地对待其管理的不同基金财产，基金托管人不公平地对待其托管的不同基金财产。</w:t>
      </w:r>
    </w:p>
    <w:p w14:paraId="206BD45F"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（三）基金管理人、基金托管人利用基金财产为基金份额持有人以外的第三人牟取利益。</w:t>
      </w:r>
    </w:p>
    <w:p w14:paraId="63BEFDCD"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（四）基金管理人、基金托管人向基金份额持有人违规承诺收益或者承担损失。</w:t>
      </w:r>
    </w:p>
    <w:p w14:paraId="311B91A4" w14:textId="25EE20CF"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（五）基金管理人、基金托管人对他人泄露基金运作和管理过程中任何尚未按法律法规规定的方式公开披露的信息。</w:t>
      </w:r>
    </w:p>
    <w:p w14:paraId="09AF1733" w14:textId="77777777" w:rsidR="00691EA2" w:rsidRDefault="00F874ED">
      <w:pPr>
        <w:adjustRightInd w:val="0"/>
        <w:snapToGrid w:val="0"/>
        <w:spacing w:line="400" w:lineRule="exact"/>
        <w:ind w:firstLine="480"/>
        <w:rPr>
          <w:rFonts w:ascii="宋体" w:eastAsia="宋体" w:hAnsi="宋体" w:cs="Arial"/>
        </w:rPr>
      </w:pPr>
      <w:r>
        <w:rPr>
          <w:rFonts w:ascii="宋体" w:eastAsia="宋体" w:hAnsi="宋体" w:cs="Arial" w:hint="eastAsia"/>
          <w:sz w:val="24"/>
        </w:rPr>
        <w:t>（六）基金管理人在没有充足资金的情况下向基金托管人发出投资指令和赎回、分红资金的划拨指令，或违规向基金托管人发出指令。</w:t>
      </w:r>
    </w:p>
    <w:p w14:paraId="1D19B21B"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（七）基金管理人、基金托管人在行政上、财务上不独立, 其高级管理人员和其他从业人员相互兼职。</w:t>
      </w:r>
    </w:p>
    <w:p w14:paraId="7DD28095"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（八）基金托管人私自动用或处分基金财产，根据基金管理人的合法指令、《基金合同》或托管协议的规定进行处分的除外。</w:t>
      </w:r>
    </w:p>
    <w:p w14:paraId="0F9BDEF9"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（九）基金财产用于下列投资或者活动：</w:t>
      </w:r>
      <w:bookmarkStart w:id="122" w:name="_Hlk163672115"/>
      <w:r>
        <w:rPr>
          <w:rFonts w:ascii="宋体" w:eastAsia="宋体" w:hAnsi="宋体" w:cs="Arial"/>
          <w:sz w:val="24"/>
        </w:rPr>
        <w:t>1.承销证券；2.违反规定向他人贷款或者提供担保；3.从事承担无限责任的投资；4.</w:t>
      </w:r>
      <w:r>
        <w:rPr>
          <w:rFonts w:ascii="宋体" w:eastAsia="宋体" w:hAnsi="宋体" w:cs="Arial" w:hint="eastAsia"/>
          <w:sz w:val="24"/>
        </w:rPr>
        <w:t>买卖其他基金份额，但法律法规或中国证监会另有规定的除外；5</w:t>
      </w:r>
      <w:r>
        <w:rPr>
          <w:rFonts w:ascii="宋体" w:eastAsia="宋体" w:hAnsi="宋体" w:cs="Arial"/>
          <w:sz w:val="24"/>
        </w:rPr>
        <w:t>.向其基金管理人、基金</w:t>
      </w:r>
      <w:r>
        <w:rPr>
          <w:rFonts w:ascii="宋体" w:eastAsia="宋体" w:hAnsi="宋体" w:cs="Arial" w:hint="eastAsia"/>
          <w:sz w:val="24"/>
        </w:rPr>
        <w:t>托管人出资；6</w:t>
      </w:r>
      <w:r>
        <w:rPr>
          <w:rFonts w:ascii="宋体" w:eastAsia="宋体" w:hAnsi="宋体" w:cs="Arial"/>
          <w:sz w:val="24"/>
        </w:rPr>
        <w:t>.从事内幕交易、操纵证券交易价格及其他不正当的证券交易活动；</w:t>
      </w:r>
      <w:r>
        <w:rPr>
          <w:rFonts w:ascii="宋体" w:eastAsia="宋体" w:hAnsi="宋体" w:cs="Arial" w:hint="eastAsia"/>
          <w:sz w:val="24"/>
        </w:rPr>
        <w:t>7</w:t>
      </w:r>
      <w:r>
        <w:rPr>
          <w:rFonts w:ascii="宋体" w:eastAsia="宋体" w:hAnsi="宋体" w:cs="Arial"/>
          <w:sz w:val="24"/>
        </w:rPr>
        <w:t>.法律、行政法规和</w:t>
      </w:r>
      <w:r>
        <w:rPr>
          <w:rFonts w:ascii="宋体" w:eastAsia="宋体" w:hAnsi="宋体" w:cs="Arial" w:hint="eastAsia"/>
          <w:sz w:val="24"/>
        </w:rPr>
        <w:t>中国证监会规定禁止的其他活动。法律、行政法规或监管部门取消或调整上述限制，如适用于本基金，基金管理人在履行适当程序后，则本基金投资不再受上述限制或按调整后的规定执行。</w:t>
      </w:r>
    </w:p>
    <w:bookmarkEnd w:id="122"/>
    <w:p w14:paraId="69C5C042" w14:textId="77777777" w:rsidR="00691EA2" w:rsidRDefault="00F874ED">
      <w:pPr>
        <w:adjustRightInd w:val="0"/>
        <w:snapToGrid w:val="0"/>
        <w:spacing w:line="400" w:lineRule="exact"/>
        <w:ind w:firstLine="480"/>
        <w:rPr>
          <w:rFonts w:ascii="宋体" w:eastAsia="宋体" w:hAnsi="宋体" w:cs="Arial"/>
          <w:sz w:val="24"/>
        </w:rPr>
      </w:pPr>
      <w:r>
        <w:rPr>
          <w:rFonts w:ascii="宋体" w:eastAsia="宋体" w:hAnsi="宋体" w:cs="Arial" w:hint="eastAsia"/>
          <w:sz w:val="24"/>
        </w:rPr>
        <w:t>（十）法律法规和《基金合同》禁止的其他行为，以及依照法律、行政法规有关规定，由中国证监会规定禁止基金管理人、基金托管人从事的其他行为。</w:t>
      </w:r>
    </w:p>
    <w:p w14:paraId="626DA0F5" w14:textId="77777777" w:rsidR="00691EA2" w:rsidRDefault="00F874ED">
      <w:pPr>
        <w:widowControl/>
        <w:jc w:val="left"/>
        <w:rPr>
          <w:rFonts w:ascii="宋体" w:eastAsia="宋体" w:hAnsi="宋体"/>
          <w:sz w:val="30"/>
          <w:szCs w:val="30"/>
        </w:rPr>
      </w:pPr>
      <w:r>
        <w:rPr>
          <w:rFonts w:ascii="宋体" w:eastAsia="宋体" w:hAnsi="宋体"/>
          <w:sz w:val="30"/>
          <w:szCs w:val="30"/>
        </w:rPr>
        <w:br w:type="page"/>
      </w:r>
    </w:p>
    <w:p w14:paraId="22C4AFF2" w14:textId="77777777" w:rsidR="00691EA2" w:rsidRDefault="00691EA2">
      <w:pPr>
        <w:adjustRightInd w:val="0"/>
        <w:snapToGrid w:val="0"/>
        <w:spacing w:line="400" w:lineRule="exact"/>
        <w:rPr>
          <w:rFonts w:ascii="宋体" w:eastAsia="宋体" w:hAnsi="宋体"/>
          <w:sz w:val="30"/>
          <w:szCs w:val="30"/>
        </w:rPr>
      </w:pPr>
    </w:p>
    <w:p w14:paraId="6E9EA1B1" w14:textId="77777777" w:rsidR="00691EA2" w:rsidRDefault="00F874ED">
      <w:pPr>
        <w:pStyle w:val="2"/>
        <w:spacing w:line="400" w:lineRule="exact"/>
        <w:jc w:val="center"/>
        <w:rPr>
          <w:rFonts w:ascii="宋体" w:eastAsia="宋体" w:hAnsi="宋体"/>
          <w:sz w:val="30"/>
        </w:rPr>
      </w:pPr>
      <w:bookmarkStart w:id="123" w:name="_Toc124325900"/>
      <w:r>
        <w:rPr>
          <w:rFonts w:ascii="宋体" w:eastAsia="宋体" w:hAnsi="宋体" w:hint="eastAsia"/>
          <w:sz w:val="30"/>
        </w:rPr>
        <w:t>十六、托管协议的变更、终止与基金财产的清算</w:t>
      </w:r>
      <w:bookmarkEnd w:id="123"/>
    </w:p>
    <w:p w14:paraId="56ADE7C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（一）托管协议的变更程序</w:t>
      </w:r>
    </w:p>
    <w:p w14:paraId="68A1AD75" w14:textId="77777777" w:rsidR="00691EA2" w:rsidRDefault="00F874ED">
      <w:pPr>
        <w:adjustRightInd w:val="0"/>
        <w:snapToGrid w:val="0"/>
        <w:spacing w:line="400" w:lineRule="exact"/>
        <w:ind w:firstLineChars="200" w:firstLine="480"/>
        <w:rPr>
          <w:rFonts w:ascii="宋体" w:eastAsia="宋体" w:hAnsi="宋体"/>
          <w:sz w:val="30"/>
          <w:szCs w:val="30"/>
        </w:rPr>
      </w:pPr>
      <w:r>
        <w:rPr>
          <w:rFonts w:ascii="宋体" w:eastAsia="宋体" w:hAnsi="宋体" w:cs="Arial" w:hint="eastAsia"/>
          <w:sz w:val="24"/>
        </w:rPr>
        <w:t>本协议双方当事人经协商一致，可以对协议进行修改。修改后的新协议，其内容不得与《基金合同》的规定有任何冲突。基金托管协议的变更根据法律法规或监管机构要求报中国证监会备案。</w:t>
      </w:r>
    </w:p>
    <w:p w14:paraId="1D885E7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（二）托管协议终止的情形</w:t>
      </w:r>
    </w:p>
    <w:p w14:paraId="139D93F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1.《基金合同》终止；</w:t>
      </w:r>
    </w:p>
    <w:p w14:paraId="1F431BB1"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2.基金托管人解散、依法被撤销、破产或由其他基金托管人接管基金托管业务；</w:t>
      </w:r>
    </w:p>
    <w:p w14:paraId="6C8A136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3.基金管理人解散、依法被撤销、破产或由其他基金管理人接管基金管理业务；</w:t>
      </w:r>
    </w:p>
    <w:p w14:paraId="0817B99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4.发生法律法规或《基金合同》规定的终止事项。</w:t>
      </w:r>
    </w:p>
    <w:p w14:paraId="11381899" w14:textId="77777777" w:rsidR="00691EA2" w:rsidRDefault="00F874ED">
      <w:pPr>
        <w:adjustRightInd w:val="0"/>
        <w:snapToGrid w:val="0"/>
        <w:spacing w:line="400" w:lineRule="exact"/>
        <w:ind w:firstLineChars="200" w:firstLine="480"/>
        <w:rPr>
          <w:rFonts w:ascii="宋体" w:eastAsia="宋体" w:hAnsi="宋体" w:cs="Arial"/>
          <w:sz w:val="24"/>
        </w:rPr>
      </w:pPr>
      <w:bookmarkStart w:id="124" w:name="_Hlk163672230"/>
      <w:r>
        <w:rPr>
          <w:rFonts w:ascii="宋体" w:eastAsia="宋体" w:hAnsi="宋体" w:cs="Arial" w:hint="eastAsia"/>
          <w:sz w:val="24"/>
        </w:rPr>
        <w:t>（三）基金财产的清算</w:t>
      </w:r>
    </w:p>
    <w:p w14:paraId="30145C4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1825009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2.基金财产清算小组组成：基金财产清算小组成员由基金管理人、基金托管人、具有证券、期货相关业务资格的注册会计师、律师以及中国证监会指定的人员组成。基金财产清算小组可以聘用必要的工作人员。</w:t>
      </w:r>
    </w:p>
    <w:p w14:paraId="5E9355F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3.基金财产清算小组职责：基金财产清算小组负责基金财产的保管、清理、估价、变现和分配。基金财产清算小组可以依法进行必要的民事活动。</w:t>
      </w:r>
    </w:p>
    <w:p w14:paraId="5555299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4.基金财产清算程序：</w:t>
      </w:r>
    </w:p>
    <w:p w14:paraId="3F2A39D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(1)《基金合同》终止情形出现时，由基金财产清算小组统一接管基金财产；</w:t>
      </w:r>
    </w:p>
    <w:p w14:paraId="51F8A8D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(2)对基金财产和债权债务进行清理和确认；</w:t>
      </w:r>
    </w:p>
    <w:p w14:paraId="4B73315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(3)对基金财产进行估值和变现；</w:t>
      </w:r>
    </w:p>
    <w:p w14:paraId="1D39285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(4)制作清算报告；</w:t>
      </w:r>
    </w:p>
    <w:p w14:paraId="34CD082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(5)聘请会计师事务所对清算报告进行外部审计，聘请律师事务所对清算报告出具法律意见书；</w:t>
      </w:r>
    </w:p>
    <w:p w14:paraId="38BF117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(6)将清算报告报中国证监会备案并公告；</w:t>
      </w:r>
    </w:p>
    <w:p w14:paraId="150D024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(7)对基金剩余财产进行分配。</w:t>
      </w:r>
    </w:p>
    <w:p w14:paraId="2F1C482A"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5.基金财产清算的期限为</w:t>
      </w:r>
      <w:r>
        <w:rPr>
          <w:rFonts w:ascii="宋体" w:eastAsia="宋体" w:hAnsi="宋体" w:cs="Arial" w:hint="eastAsia"/>
          <w:sz w:val="24"/>
          <w:szCs w:val="24"/>
        </w:rPr>
        <w:t>6个月，但因本基金所持证券的流动性受到限制而不能及时变现的，清算期限可相应顺延</w:t>
      </w:r>
      <w:r>
        <w:rPr>
          <w:rFonts w:ascii="宋体" w:eastAsia="宋体" w:hAnsi="宋体" w:cs="Arial" w:hint="eastAsia"/>
          <w:sz w:val="24"/>
        </w:rPr>
        <w:t>。</w:t>
      </w:r>
    </w:p>
    <w:p w14:paraId="6B0930D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lastRenderedPageBreak/>
        <w:t>6.清算费用</w:t>
      </w:r>
    </w:p>
    <w:p w14:paraId="5AA3DA8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清算费用是指基金财产清算小组在进行基金清算过程中发生的所有合理费用，清算费用由基金财产清算小组优先从基金剩余财产中支付。</w:t>
      </w:r>
    </w:p>
    <w:p w14:paraId="5B0299CC"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7.基金财产清算剩余资产的分配</w:t>
      </w:r>
    </w:p>
    <w:p w14:paraId="0DD30885"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73FA8EE2"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8.基金财产清算的公告</w:t>
      </w:r>
    </w:p>
    <w:p w14:paraId="6E48799F"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eastAsia="宋体" w:hAnsi="宋体" w:cs="Arial"/>
          <w:sz w:val="24"/>
        </w:rPr>
        <w:t>5</w:t>
      </w:r>
      <w:r>
        <w:rPr>
          <w:rFonts w:ascii="宋体" w:eastAsia="宋体" w:hAnsi="宋体" w:cs="Arial" w:hint="eastAsia"/>
          <w:sz w:val="24"/>
        </w:rPr>
        <w:t>个工作日内由基金财产清算小组进行公告，基金财产清算小组应当将清算报告登载在规定网站上，并将清算报告提示性公告登载在规定报刊上。</w:t>
      </w:r>
    </w:p>
    <w:p w14:paraId="6D6EBCF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9.基金财产清算账册及文件的保存</w:t>
      </w:r>
    </w:p>
    <w:p w14:paraId="4C54922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基金财产清算账册及有关文件由基金托管人保存，保存期限不低于法律法规规定的最低期限。</w:t>
      </w:r>
    </w:p>
    <w:bookmarkEnd w:id="124"/>
    <w:p w14:paraId="6378633F"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1C8449BF" w14:textId="77777777" w:rsidR="00691EA2" w:rsidRDefault="00691EA2">
      <w:pPr>
        <w:adjustRightInd w:val="0"/>
        <w:snapToGrid w:val="0"/>
        <w:spacing w:line="400" w:lineRule="exact"/>
        <w:rPr>
          <w:rFonts w:ascii="宋体" w:eastAsia="宋体" w:hAnsi="宋体" w:cs="Arial"/>
          <w:sz w:val="24"/>
        </w:rPr>
      </w:pPr>
    </w:p>
    <w:p w14:paraId="1A0DE068" w14:textId="77777777" w:rsidR="00691EA2" w:rsidRDefault="00F874ED">
      <w:pPr>
        <w:pStyle w:val="2"/>
        <w:spacing w:line="400" w:lineRule="exact"/>
        <w:jc w:val="center"/>
        <w:rPr>
          <w:rFonts w:ascii="宋体" w:eastAsia="宋体" w:hAnsi="宋体"/>
          <w:sz w:val="30"/>
        </w:rPr>
      </w:pPr>
      <w:bookmarkStart w:id="125" w:name="_Toc124325901"/>
      <w:r>
        <w:rPr>
          <w:rFonts w:ascii="宋体" w:eastAsia="宋体" w:hAnsi="宋体" w:hint="eastAsia"/>
          <w:sz w:val="30"/>
        </w:rPr>
        <w:t>十七、违约责任</w:t>
      </w:r>
      <w:bookmarkEnd w:id="125"/>
    </w:p>
    <w:p w14:paraId="2166BC3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（一）基金管理人、基金托管人不履行本协议或履行本协议不符合约定的，应当承担违约责任。</w:t>
      </w:r>
    </w:p>
    <w:p w14:paraId="7D4F59E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839D20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D3B5D58"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1.不可抗力；</w:t>
      </w:r>
    </w:p>
    <w:p w14:paraId="3978A3A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2.基金管理人和</w:t>
      </w:r>
      <w:r>
        <w:rPr>
          <w:rFonts w:ascii="宋体" w:eastAsia="宋体" w:hAnsi="宋体" w:cs="Arial"/>
          <w:sz w:val="24"/>
        </w:rPr>
        <w:t>/或</w:t>
      </w:r>
      <w:r>
        <w:rPr>
          <w:rFonts w:ascii="宋体" w:eastAsia="宋体" w:hAnsi="宋体" w:cs="Arial" w:hint="eastAsia"/>
          <w:sz w:val="24"/>
        </w:rPr>
        <w:t>基金托管人按照当时有效的法律法规或中国证监会的规定作为或不作为而造成的损失等；</w:t>
      </w:r>
    </w:p>
    <w:p w14:paraId="642C1237" w14:textId="77777777" w:rsidR="00691EA2" w:rsidRDefault="00F874ED">
      <w:pPr>
        <w:adjustRightInd w:val="0"/>
        <w:snapToGrid w:val="0"/>
        <w:spacing w:line="400" w:lineRule="exact"/>
        <w:ind w:firstLineChars="200" w:firstLine="480"/>
        <w:rPr>
          <w:rFonts w:ascii="宋体" w:eastAsia="宋体" w:hAnsi="宋体" w:cs="Arial"/>
          <w:sz w:val="24"/>
        </w:rPr>
      </w:pPr>
      <w:r w:rsidRPr="00EB6B3F">
        <w:rPr>
          <w:rFonts w:ascii="宋体" w:eastAsia="宋体" w:hAnsi="宋体" w:cs="Arial"/>
          <w:sz w:val="24"/>
          <w:highlight w:val="yellow"/>
        </w:rPr>
        <w:t>3.在没有过错的情况下，</w:t>
      </w:r>
      <w:r>
        <w:rPr>
          <w:rFonts w:ascii="宋体" w:eastAsia="宋体" w:hAnsi="宋体" w:cs="Arial" w:hint="eastAsia"/>
          <w:sz w:val="24"/>
        </w:rPr>
        <w:t>基金管理人由于按照《基金合同》规定的投资原则行使或不行使其投资权而造成的损失等。</w:t>
      </w:r>
    </w:p>
    <w:p w14:paraId="09C3B72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四）一方当事人违约，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457021B"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（五）违约行为虽已发生，但本托管协议能够继续履行的，在最大限度地保护基金份额持有人利益的前提下，基金管理人和基金托管人应当继续履行本协议。</w:t>
      </w:r>
    </w:p>
    <w:p w14:paraId="08F8879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176BE7E"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0376AD50" w14:textId="77777777" w:rsidR="00691EA2" w:rsidRDefault="00691EA2">
      <w:pPr>
        <w:adjustRightInd w:val="0"/>
        <w:snapToGrid w:val="0"/>
        <w:spacing w:line="400" w:lineRule="exact"/>
        <w:ind w:firstLineChars="200" w:firstLine="480"/>
        <w:rPr>
          <w:rFonts w:ascii="宋体" w:eastAsia="宋体" w:hAnsi="宋体" w:cs="Arial"/>
          <w:sz w:val="24"/>
        </w:rPr>
      </w:pPr>
    </w:p>
    <w:p w14:paraId="7AE378C0" w14:textId="77777777" w:rsidR="00691EA2" w:rsidRDefault="00F874ED">
      <w:pPr>
        <w:pStyle w:val="2"/>
        <w:spacing w:line="400" w:lineRule="exact"/>
        <w:jc w:val="center"/>
        <w:rPr>
          <w:rFonts w:ascii="宋体" w:eastAsia="宋体" w:hAnsi="宋体"/>
          <w:sz w:val="30"/>
        </w:rPr>
      </w:pPr>
      <w:bookmarkStart w:id="126" w:name="_Toc124325902"/>
      <w:r>
        <w:rPr>
          <w:rFonts w:ascii="宋体" w:eastAsia="宋体" w:hAnsi="宋体" w:hint="eastAsia"/>
          <w:sz w:val="30"/>
        </w:rPr>
        <w:t>十八、争议解决方式</w:t>
      </w:r>
      <w:bookmarkEnd w:id="126"/>
    </w:p>
    <w:p w14:paraId="039C61C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因本协议产生或与之相关的争议，双方当事人应通过协商、调解解决，协商、调解不能解决的，任何一方均有权将争议提交</w:t>
      </w:r>
      <w:bookmarkStart w:id="127" w:name="_Hlk185495709"/>
      <w:r>
        <w:rPr>
          <w:rFonts w:ascii="宋体" w:eastAsia="宋体" w:hAnsi="宋体" w:cs="Arial" w:hint="eastAsia"/>
          <w:sz w:val="24"/>
        </w:rPr>
        <w:t>中国国际经济贸易仲裁委员会</w:t>
      </w:r>
      <w:bookmarkEnd w:id="127"/>
      <w:r>
        <w:rPr>
          <w:rFonts w:ascii="宋体" w:eastAsia="宋体" w:hAnsi="宋体" w:cs="Arial" w:hint="eastAsia"/>
          <w:sz w:val="24"/>
        </w:rPr>
        <w:t>，仲裁地点为</w:t>
      </w:r>
      <w:bookmarkStart w:id="128" w:name="_Hlk185495719"/>
      <w:r>
        <w:rPr>
          <w:rFonts w:ascii="宋体" w:eastAsia="宋体" w:hAnsi="宋体" w:cs="Arial" w:hint="eastAsia"/>
          <w:sz w:val="24"/>
        </w:rPr>
        <w:t>北京</w:t>
      </w:r>
      <w:bookmarkEnd w:id="128"/>
      <w:r>
        <w:rPr>
          <w:rFonts w:ascii="宋体" w:eastAsia="宋体" w:hAnsi="宋体" w:cs="Arial" w:hint="eastAsia"/>
          <w:sz w:val="24"/>
        </w:rPr>
        <w:t>市，按照中国国际经济贸易仲裁委员会届时有效的仲裁规则进行仲裁。仲裁裁决是终局的，对双方当事人均有约束力</w:t>
      </w:r>
      <w:r>
        <w:rPr>
          <w:rFonts w:ascii="宋体" w:eastAsia="宋体" w:hAnsi="宋体" w:hint="eastAsia"/>
          <w:bCs/>
          <w:sz w:val="24"/>
        </w:rPr>
        <w:t>。除非仲裁裁决另有决定</w:t>
      </w:r>
      <w:r>
        <w:rPr>
          <w:rFonts w:ascii="宋体" w:eastAsia="宋体" w:hAnsi="宋体" w:cs="Arial" w:hint="eastAsia"/>
          <w:sz w:val="24"/>
        </w:rPr>
        <w:t>，仲裁费用由败诉方承担。</w:t>
      </w:r>
    </w:p>
    <w:p w14:paraId="215FC4DE"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争议处理期间，基金管理人和基金托管人职责应</w:t>
      </w:r>
      <w:r>
        <w:rPr>
          <w:rFonts w:ascii="宋体" w:eastAsia="宋体" w:hAnsi="宋体" w:cs="Arial"/>
          <w:sz w:val="24"/>
        </w:rPr>
        <w:t>恪守各自职责</w:t>
      </w:r>
      <w:r>
        <w:rPr>
          <w:rFonts w:ascii="宋体" w:eastAsia="宋体" w:hAnsi="宋体" w:cs="Arial" w:hint="eastAsia"/>
          <w:sz w:val="24"/>
        </w:rPr>
        <w:t>，各自继续忠实、勤勉、尽责地履行《基金合同》和本托管协议规定的义务，维护基金份额持有人的合法权益。</w:t>
      </w:r>
    </w:p>
    <w:p w14:paraId="72104D9D"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本协议受中国法律</w:t>
      </w:r>
      <w:r>
        <w:rPr>
          <w:rFonts w:ascii="宋体" w:eastAsia="宋体" w:hAnsi="宋体" w:cs="Arial" w:hint="eastAsia"/>
          <w:sz w:val="24"/>
          <w:szCs w:val="24"/>
        </w:rPr>
        <w:t>（为本托管协议之目的，在此不包括香港、澳门特别行政区和台湾地区的有关规定）</w:t>
      </w:r>
      <w:r>
        <w:rPr>
          <w:rFonts w:ascii="宋体" w:eastAsia="宋体" w:hAnsi="宋体" w:cs="Arial" w:hint="eastAsia"/>
          <w:sz w:val="24"/>
        </w:rPr>
        <w:t>管辖。</w:t>
      </w:r>
    </w:p>
    <w:p w14:paraId="767E7F7C"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6DEDB733" w14:textId="77777777" w:rsidR="00691EA2" w:rsidRDefault="00691EA2">
      <w:pPr>
        <w:adjustRightInd w:val="0"/>
        <w:snapToGrid w:val="0"/>
        <w:spacing w:line="400" w:lineRule="exact"/>
        <w:rPr>
          <w:rFonts w:ascii="宋体" w:eastAsia="宋体" w:hAnsi="宋体" w:cs="Arial"/>
          <w:sz w:val="24"/>
        </w:rPr>
      </w:pPr>
    </w:p>
    <w:p w14:paraId="539A02CE" w14:textId="77777777" w:rsidR="00691EA2" w:rsidRDefault="00F874ED">
      <w:pPr>
        <w:pStyle w:val="2"/>
        <w:spacing w:line="400" w:lineRule="exact"/>
        <w:jc w:val="center"/>
        <w:rPr>
          <w:rFonts w:ascii="宋体" w:eastAsia="宋体" w:hAnsi="宋体"/>
          <w:sz w:val="30"/>
        </w:rPr>
      </w:pPr>
      <w:bookmarkStart w:id="129" w:name="_Toc124325903"/>
      <w:r>
        <w:rPr>
          <w:rFonts w:ascii="宋体" w:eastAsia="宋体" w:hAnsi="宋体" w:hint="eastAsia"/>
          <w:sz w:val="30"/>
        </w:rPr>
        <w:t>十九、托管协议的效力</w:t>
      </w:r>
      <w:bookmarkEnd w:id="129"/>
    </w:p>
    <w:p w14:paraId="566A8C99"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双方对托管协议的效力约定如下：</w:t>
      </w:r>
    </w:p>
    <w:p w14:paraId="50A0BBC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一）基金管理人在向中国证监会申请发售基金份额时提交的托管协议，应经托管协议当事人双方盖章以及双方法定代表人或授权代表签字（或盖章），协议当事人双方根据中国证监会的意见修改托管协议。托管协议以中国证监会备案的文本为正式文本。</w:t>
      </w:r>
    </w:p>
    <w:p w14:paraId="41506DE0"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4594072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（三）托管协议自生效之日起对托管协议当事人具有同等的法律约束力。</w:t>
      </w:r>
    </w:p>
    <w:p w14:paraId="5AE29E9B" w14:textId="77777777" w:rsidR="00691EA2" w:rsidRDefault="00F874ED">
      <w:pPr>
        <w:adjustRightInd w:val="0"/>
        <w:snapToGrid w:val="0"/>
        <w:spacing w:line="400" w:lineRule="exact"/>
        <w:ind w:firstLineChars="200" w:firstLine="480"/>
        <w:rPr>
          <w:rFonts w:ascii="宋体" w:eastAsia="宋体" w:hAnsi="宋体"/>
          <w:sz w:val="30"/>
          <w:szCs w:val="30"/>
        </w:rPr>
      </w:pPr>
      <w:r>
        <w:rPr>
          <w:rFonts w:ascii="宋体" w:eastAsia="宋体" w:hAnsi="宋体" w:cs="Arial" w:hint="eastAsia"/>
          <w:sz w:val="24"/>
        </w:rPr>
        <w:t>（四）本协议一式四份，</w:t>
      </w:r>
      <w:r>
        <w:rPr>
          <w:rFonts w:ascii="宋体" w:eastAsia="宋体" w:hAnsi="宋体" w:cs="Arial"/>
          <w:bCs/>
          <w:sz w:val="24"/>
          <w:szCs w:val="24"/>
        </w:rPr>
        <w:t>基金管理人持有</w:t>
      </w:r>
      <w:r>
        <w:rPr>
          <w:rFonts w:ascii="宋体" w:eastAsia="宋体" w:hAnsi="宋体" w:cs="Arial" w:hint="eastAsia"/>
          <w:bCs/>
          <w:sz w:val="24"/>
          <w:szCs w:val="24"/>
        </w:rPr>
        <w:t>一</w:t>
      </w:r>
      <w:r>
        <w:rPr>
          <w:rFonts w:ascii="宋体" w:eastAsia="宋体" w:hAnsi="宋体" w:cs="Arial"/>
          <w:bCs/>
          <w:sz w:val="24"/>
          <w:szCs w:val="24"/>
        </w:rPr>
        <w:t>份，</w:t>
      </w:r>
      <w:r>
        <w:rPr>
          <w:rFonts w:ascii="宋体" w:eastAsia="宋体" w:hAnsi="宋体" w:cs="Arial" w:hint="eastAsia"/>
          <w:bCs/>
          <w:sz w:val="24"/>
          <w:szCs w:val="24"/>
        </w:rPr>
        <w:t>基金托管人持有二</w:t>
      </w:r>
      <w:r>
        <w:rPr>
          <w:rFonts w:ascii="宋体" w:eastAsia="宋体" w:hAnsi="宋体" w:cs="Arial" w:hint="eastAsia"/>
          <w:sz w:val="24"/>
        </w:rPr>
        <w:t>份，上报监管机构一份，每份具有同等的法律效力。</w:t>
      </w:r>
    </w:p>
    <w:p w14:paraId="42EB98CB" w14:textId="77777777" w:rsidR="00691EA2" w:rsidRDefault="00F874ED">
      <w:pPr>
        <w:widowControl/>
        <w:jc w:val="left"/>
        <w:rPr>
          <w:rFonts w:ascii="宋体" w:eastAsia="宋体" w:hAnsi="宋体" w:cs="Arial"/>
          <w:sz w:val="24"/>
        </w:rPr>
      </w:pPr>
      <w:r>
        <w:rPr>
          <w:rFonts w:ascii="宋体" w:eastAsia="宋体" w:hAnsi="宋体" w:cs="Arial"/>
          <w:sz w:val="24"/>
        </w:rPr>
        <w:br w:type="page"/>
      </w:r>
    </w:p>
    <w:p w14:paraId="63518095" w14:textId="77777777" w:rsidR="00691EA2" w:rsidRDefault="00691EA2">
      <w:pPr>
        <w:adjustRightInd w:val="0"/>
        <w:snapToGrid w:val="0"/>
        <w:spacing w:line="400" w:lineRule="exact"/>
        <w:rPr>
          <w:rFonts w:ascii="宋体" w:eastAsia="宋体" w:hAnsi="宋体" w:cs="Arial"/>
          <w:sz w:val="24"/>
        </w:rPr>
      </w:pPr>
    </w:p>
    <w:p w14:paraId="48BEAFFE" w14:textId="77777777" w:rsidR="00691EA2" w:rsidRDefault="00F874ED">
      <w:pPr>
        <w:pStyle w:val="2"/>
        <w:spacing w:line="400" w:lineRule="exact"/>
        <w:jc w:val="center"/>
        <w:rPr>
          <w:rFonts w:ascii="宋体" w:eastAsia="宋体" w:hAnsi="宋体"/>
          <w:sz w:val="30"/>
        </w:rPr>
      </w:pPr>
      <w:bookmarkStart w:id="130" w:name="_Toc124325904"/>
      <w:r>
        <w:rPr>
          <w:rFonts w:ascii="宋体" w:eastAsia="宋体" w:hAnsi="宋体" w:hint="eastAsia"/>
          <w:sz w:val="30"/>
        </w:rPr>
        <w:t>二十、其他事项</w:t>
      </w:r>
      <w:bookmarkEnd w:id="130"/>
    </w:p>
    <w:p w14:paraId="56727146"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如发生有权司法机关依法冻结基金份额持有人的基金份额时，基金管理人应予以配合，承担司法协助义务。</w:t>
      </w:r>
    </w:p>
    <w:p w14:paraId="7F7067A3"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除本协议有明确定义外，本协议的用语定义适用《基金合同》的约定。本协议未尽事宜，当事人依据《基金合同》、有关法律法规等规定协商办理。</w:t>
      </w:r>
    </w:p>
    <w:p w14:paraId="1644D6EC" w14:textId="77777777" w:rsidR="00691EA2" w:rsidRDefault="00F874ED">
      <w:pPr>
        <w:widowControl/>
        <w:jc w:val="left"/>
        <w:rPr>
          <w:rFonts w:ascii="宋体" w:eastAsia="宋体" w:hAnsi="宋体"/>
          <w:b/>
          <w:bCs/>
        </w:rPr>
      </w:pPr>
      <w:r>
        <w:rPr>
          <w:rFonts w:ascii="宋体" w:eastAsia="宋体" w:hAnsi="宋体"/>
          <w:b/>
          <w:bCs/>
        </w:rPr>
        <w:br w:type="page"/>
      </w:r>
    </w:p>
    <w:p w14:paraId="69F5D534" w14:textId="77777777" w:rsidR="00691EA2" w:rsidRDefault="00691EA2">
      <w:pPr>
        <w:adjustRightInd w:val="0"/>
        <w:snapToGrid w:val="0"/>
        <w:spacing w:line="400" w:lineRule="exact"/>
        <w:rPr>
          <w:rFonts w:ascii="宋体" w:eastAsia="宋体" w:hAnsi="宋体"/>
          <w:b/>
          <w:bCs/>
        </w:rPr>
      </w:pPr>
    </w:p>
    <w:p w14:paraId="170111F2" w14:textId="77777777" w:rsidR="00691EA2" w:rsidRDefault="00F874ED">
      <w:pPr>
        <w:pStyle w:val="2"/>
        <w:spacing w:line="400" w:lineRule="exact"/>
        <w:jc w:val="center"/>
        <w:rPr>
          <w:rFonts w:ascii="宋体" w:eastAsia="宋体" w:hAnsi="宋体"/>
          <w:sz w:val="30"/>
        </w:rPr>
      </w:pPr>
      <w:bookmarkStart w:id="131" w:name="_Toc124325905"/>
      <w:r>
        <w:rPr>
          <w:rFonts w:ascii="宋体" w:eastAsia="宋体" w:hAnsi="宋体" w:hint="eastAsia"/>
          <w:sz w:val="30"/>
        </w:rPr>
        <w:t>二十一、托管协议的签订</w:t>
      </w:r>
      <w:bookmarkEnd w:id="131"/>
    </w:p>
    <w:p w14:paraId="1F1A3387" w14:textId="77777777" w:rsidR="00691EA2" w:rsidRDefault="00F874ED">
      <w:pPr>
        <w:adjustRightInd w:val="0"/>
        <w:snapToGrid w:val="0"/>
        <w:spacing w:line="400" w:lineRule="exact"/>
        <w:ind w:firstLineChars="200" w:firstLine="480"/>
        <w:rPr>
          <w:rFonts w:ascii="宋体" w:eastAsia="宋体" w:hAnsi="宋体" w:cs="Arial"/>
          <w:sz w:val="24"/>
        </w:rPr>
      </w:pPr>
      <w:r>
        <w:rPr>
          <w:rFonts w:ascii="宋体" w:eastAsia="宋体" w:hAnsi="宋体" w:cs="Arial" w:hint="eastAsia"/>
          <w:sz w:val="24"/>
        </w:rPr>
        <w:t>本协议双方法定代表人或授权代表签章、签订地、签订日</w:t>
      </w:r>
    </w:p>
    <w:p w14:paraId="4B3787E0" w14:textId="77777777" w:rsidR="00691EA2" w:rsidRDefault="00691EA2">
      <w:pPr>
        <w:adjustRightInd w:val="0"/>
        <w:snapToGrid w:val="0"/>
        <w:spacing w:line="400" w:lineRule="exact"/>
        <w:ind w:firstLineChars="200" w:firstLine="480"/>
        <w:rPr>
          <w:rFonts w:ascii="宋体" w:eastAsia="宋体" w:hAnsi="宋体" w:cs="Arial"/>
          <w:sz w:val="24"/>
        </w:rPr>
        <w:sectPr w:rsidR="00691EA2">
          <w:headerReference w:type="default" r:id="rId10"/>
          <w:pgSz w:w="11906" w:h="16838" w:code="9"/>
          <w:pgMar w:top="1418" w:right="1701" w:bottom="1418" w:left="1701" w:header="851" w:footer="992" w:gutter="0"/>
          <w:cols w:space="425"/>
          <w:docGrid w:type="lines" w:linePitch="312"/>
        </w:sectPr>
      </w:pPr>
    </w:p>
    <w:p w14:paraId="2C64814E" w14:textId="6A85BBF7" w:rsidR="00691EA2" w:rsidRDefault="00F874ED">
      <w:pPr>
        <w:spacing w:line="400" w:lineRule="exact"/>
        <w:ind w:right="26"/>
        <w:rPr>
          <w:rFonts w:ascii="宋体" w:eastAsia="宋体" w:hAnsi="宋体"/>
          <w:sz w:val="24"/>
        </w:rPr>
      </w:pPr>
      <w:r>
        <w:rPr>
          <w:rFonts w:ascii="宋体" w:eastAsia="宋体" w:hAnsi="宋体" w:hint="eastAsia"/>
          <w:sz w:val="24"/>
        </w:rPr>
        <w:lastRenderedPageBreak/>
        <w:t>本页无正文，为《兴证全球中证沪港深300指数增强型证券投资基金托管协议》的签字盖章页。</w:t>
      </w:r>
    </w:p>
    <w:p w14:paraId="26C15A84" w14:textId="77777777" w:rsidR="00691EA2" w:rsidRDefault="00691EA2">
      <w:pPr>
        <w:spacing w:line="400" w:lineRule="exact"/>
        <w:rPr>
          <w:rFonts w:ascii="宋体" w:eastAsia="宋体" w:hAnsi="宋体"/>
          <w:sz w:val="24"/>
        </w:rPr>
      </w:pPr>
    </w:p>
    <w:p w14:paraId="62BA30E0" w14:textId="77777777" w:rsidR="00691EA2" w:rsidRDefault="00691EA2">
      <w:pPr>
        <w:spacing w:line="400" w:lineRule="exact"/>
        <w:rPr>
          <w:rFonts w:ascii="宋体" w:eastAsia="宋体" w:hAnsi="宋体"/>
          <w:sz w:val="24"/>
        </w:rPr>
      </w:pPr>
    </w:p>
    <w:p w14:paraId="1BF1E0B0" w14:textId="77777777" w:rsidR="00691EA2" w:rsidRDefault="00F874ED">
      <w:pPr>
        <w:spacing w:line="400" w:lineRule="exact"/>
        <w:ind w:right="26"/>
        <w:rPr>
          <w:rFonts w:ascii="宋体" w:eastAsia="宋体" w:hAnsi="宋体"/>
          <w:sz w:val="24"/>
        </w:rPr>
      </w:pPr>
      <w:r>
        <w:rPr>
          <w:rFonts w:ascii="宋体" w:eastAsia="宋体" w:hAnsi="宋体" w:hint="eastAsia"/>
          <w:sz w:val="24"/>
        </w:rPr>
        <w:t>基金管理人：兴证全球基金管理有限公司（盖章）</w:t>
      </w:r>
    </w:p>
    <w:p w14:paraId="29457537" w14:textId="77777777" w:rsidR="00691EA2" w:rsidRDefault="00691EA2">
      <w:pPr>
        <w:spacing w:line="400" w:lineRule="exact"/>
        <w:ind w:right="26"/>
        <w:rPr>
          <w:rFonts w:ascii="宋体" w:eastAsia="宋体" w:hAnsi="宋体"/>
          <w:sz w:val="24"/>
        </w:rPr>
      </w:pPr>
    </w:p>
    <w:p w14:paraId="68AE7813" w14:textId="77777777" w:rsidR="00691EA2" w:rsidRDefault="00691EA2">
      <w:pPr>
        <w:spacing w:line="400" w:lineRule="exact"/>
        <w:ind w:right="26"/>
        <w:rPr>
          <w:rFonts w:ascii="宋体" w:eastAsia="宋体" w:hAnsi="宋体"/>
          <w:sz w:val="24"/>
        </w:rPr>
      </w:pPr>
    </w:p>
    <w:p w14:paraId="08415A7B" w14:textId="77777777" w:rsidR="00691EA2" w:rsidRDefault="00F874ED">
      <w:pPr>
        <w:spacing w:line="400" w:lineRule="exact"/>
        <w:ind w:right="26"/>
        <w:rPr>
          <w:rFonts w:ascii="宋体" w:eastAsia="宋体" w:hAnsi="宋体"/>
          <w:sz w:val="24"/>
        </w:rPr>
      </w:pPr>
      <w:r>
        <w:rPr>
          <w:rFonts w:ascii="宋体" w:eastAsia="宋体" w:hAnsi="宋体" w:hint="eastAsia"/>
          <w:sz w:val="24"/>
        </w:rPr>
        <w:t xml:space="preserve">法定代表人或授权代表：                   </w:t>
      </w:r>
    </w:p>
    <w:p w14:paraId="4E38D189" w14:textId="77777777" w:rsidR="00691EA2" w:rsidRDefault="00691EA2">
      <w:pPr>
        <w:spacing w:line="400" w:lineRule="exact"/>
        <w:ind w:right="26"/>
        <w:rPr>
          <w:rFonts w:ascii="宋体" w:eastAsia="宋体" w:hAnsi="宋体"/>
          <w:sz w:val="24"/>
        </w:rPr>
      </w:pPr>
    </w:p>
    <w:p w14:paraId="74CB5F17" w14:textId="5554F53C" w:rsidR="00691EA2" w:rsidRDefault="00691EA2">
      <w:pPr>
        <w:spacing w:line="400" w:lineRule="exact"/>
        <w:ind w:right="26"/>
        <w:rPr>
          <w:rFonts w:ascii="宋体" w:eastAsia="宋体" w:hAnsi="宋体"/>
          <w:sz w:val="24"/>
        </w:rPr>
      </w:pPr>
    </w:p>
    <w:p w14:paraId="3750D6D7" w14:textId="334EB9FE" w:rsidR="002F065A" w:rsidRDefault="002F065A">
      <w:pPr>
        <w:spacing w:line="400" w:lineRule="exact"/>
        <w:ind w:right="26"/>
        <w:rPr>
          <w:rFonts w:ascii="宋体" w:eastAsia="宋体" w:hAnsi="宋体"/>
          <w:sz w:val="24"/>
        </w:rPr>
      </w:pPr>
    </w:p>
    <w:p w14:paraId="6E420E7A" w14:textId="77777777" w:rsidR="002F065A" w:rsidRDefault="002F065A">
      <w:pPr>
        <w:spacing w:line="400" w:lineRule="exact"/>
        <w:ind w:right="26"/>
        <w:rPr>
          <w:rFonts w:ascii="宋体" w:eastAsia="宋体" w:hAnsi="宋体" w:hint="eastAsia"/>
          <w:sz w:val="24"/>
        </w:rPr>
      </w:pPr>
    </w:p>
    <w:p w14:paraId="390BEBE5" w14:textId="77777777" w:rsidR="00691EA2" w:rsidRDefault="00F874ED">
      <w:pPr>
        <w:spacing w:line="400" w:lineRule="exact"/>
        <w:ind w:right="26"/>
        <w:rPr>
          <w:rFonts w:ascii="宋体" w:eastAsia="宋体" w:hAnsi="宋体"/>
          <w:sz w:val="24"/>
        </w:rPr>
      </w:pPr>
      <w:r>
        <w:rPr>
          <w:rFonts w:ascii="宋体" w:eastAsia="宋体" w:hAnsi="宋体" w:hint="eastAsia"/>
          <w:sz w:val="24"/>
        </w:rPr>
        <w:t>基金托管人：中国建设银行股份有限公司（盖章）</w:t>
      </w:r>
    </w:p>
    <w:p w14:paraId="19657175" w14:textId="77777777" w:rsidR="00691EA2" w:rsidRDefault="00691EA2">
      <w:pPr>
        <w:spacing w:line="400" w:lineRule="exact"/>
        <w:ind w:right="26"/>
        <w:rPr>
          <w:rFonts w:ascii="宋体" w:eastAsia="宋体" w:hAnsi="宋体"/>
          <w:sz w:val="24"/>
        </w:rPr>
      </w:pPr>
    </w:p>
    <w:p w14:paraId="63BE50FF" w14:textId="77777777" w:rsidR="00691EA2" w:rsidRDefault="00691EA2">
      <w:pPr>
        <w:spacing w:line="400" w:lineRule="exact"/>
        <w:ind w:right="26"/>
        <w:rPr>
          <w:rFonts w:ascii="宋体" w:eastAsia="宋体" w:hAnsi="宋体"/>
          <w:sz w:val="24"/>
        </w:rPr>
      </w:pPr>
    </w:p>
    <w:p w14:paraId="17362905" w14:textId="77777777" w:rsidR="00691EA2" w:rsidRDefault="00F874ED">
      <w:pPr>
        <w:spacing w:line="400" w:lineRule="exact"/>
        <w:ind w:right="26"/>
        <w:rPr>
          <w:rFonts w:ascii="宋体" w:eastAsia="宋体" w:hAnsi="宋体"/>
          <w:sz w:val="24"/>
        </w:rPr>
      </w:pPr>
      <w:r>
        <w:rPr>
          <w:rFonts w:ascii="宋体" w:eastAsia="宋体" w:hAnsi="宋体" w:hint="eastAsia"/>
          <w:sz w:val="24"/>
        </w:rPr>
        <w:t xml:space="preserve">法定代表人或授权代表：                   </w:t>
      </w:r>
    </w:p>
    <w:p w14:paraId="13D06B41" w14:textId="77777777" w:rsidR="00691EA2" w:rsidRDefault="00691EA2">
      <w:pPr>
        <w:spacing w:line="400" w:lineRule="exact"/>
        <w:ind w:right="26"/>
        <w:rPr>
          <w:rFonts w:ascii="宋体" w:eastAsia="宋体" w:hAnsi="宋体"/>
          <w:b/>
          <w:sz w:val="24"/>
          <w:szCs w:val="28"/>
        </w:rPr>
      </w:pPr>
    </w:p>
    <w:p w14:paraId="3DAF4633" w14:textId="77777777" w:rsidR="00691EA2" w:rsidRDefault="00691EA2">
      <w:pPr>
        <w:spacing w:line="400" w:lineRule="exact"/>
        <w:ind w:right="26"/>
        <w:rPr>
          <w:rFonts w:ascii="宋体" w:eastAsia="宋体" w:hAnsi="宋体"/>
          <w:b/>
          <w:sz w:val="24"/>
          <w:szCs w:val="28"/>
        </w:rPr>
      </w:pPr>
    </w:p>
    <w:p w14:paraId="0824E51A" w14:textId="77777777" w:rsidR="00691EA2" w:rsidRDefault="00F874ED">
      <w:pPr>
        <w:spacing w:line="400" w:lineRule="exact"/>
        <w:ind w:right="26"/>
        <w:rPr>
          <w:rFonts w:ascii="宋体" w:eastAsia="宋体" w:hAnsi="宋体"/>
          <w:b/>
          <w:sz w:val="24"/>
          <w:szCs w:val="28"/>
        </w:rPr>
      </w:pPr>
      <w:r>
        <w:rPr>
          <w:rFonts w:ascii="宋体" w:eastAsia="宋体" w:hAnsi="宋体" w:hint="eastAsia"/>
          <w:b/>
          <w:sz w:val="24"/>
          <w:szCs w:val="28"/>
        </w:rPr>
        <w:t>签订地点：北京</w:t>
      </w:r>
    </w:p>
    <w:p w14:paraId="0A75D05E" w14:textId="52AA07C3" w:rsidR="00691EA2" w:rsidRDefault="00F874ED">
      <w:pPr>
        <w:spacing w:line="400" w:lineRule="exact"/>
        <w:ind w:right="26"/>
        <w:rPr>
          <w:rFonts w:ascii="宋体" w:eastAsia="宋体" w:hAnsi="宋体"/>
          <w:b/>
          <w:sz w:val="24"/>
          <w:szCs w:val="28"/>
        </w:rPr>
      </w:pPr>
      <w:r>
        <w:rPr>
          <w:rFonts w:ascii="宋体" w:eastAsia="宋体" w:hAnsi="宋体" w:hint="eastAsia"/>
          <w:b/>
          <w:sz w:val="24"/>
          <w:szCs w:val="28"/>
        </w:rPr>
        <w:t>签 订 日：二零二</w:t>
      </w:r>
      <w:r w:rsidR="00CA1A13">
        <w:rPr>
          <w:rFonts w:ascii="宋体" w:eastAsia="宋体" w:hAnsi="宋体" w:hint="eastAsia"/>
          <w:b/>
          <w:sz w:val="24"/>
          <w:szCs w:val="28"/>
        </w:rPr>
        <w:t>五</w:t>
      </w:r>
      <w:r>
        <w:rPr>
          <w:rFonts w:ascii="宋体" w:eastAsia="宋体" w:hAnsi="宋体" w:hint="eastAsia"/>
          <w:b/>
          <w:sz w:val="24"/>
          <w:szCs w:val="28"/>
        </w:rPr>
        <w:t xml:space="preserve">年 </w:t>
      </w:r>
      <w:r>
        <w:rPr>
          <w:rFonts w:ascii="宋体" w:eastAsia="宋体" w:hAnsi="宋体"/>
          <w:b/>
          <w:sz w:val="24"/>
          <w:szCs w:val="28"/>
        </w:rPr>
        <w:t xml:space="preserve"> </w:t>
      </w:r>
      <w:r>
        <w:rPr>
          <w:rFonts w:ascii="宋体" w:eastAsia="宋体" w:hAnsi="宋体" w:hint="eastAsia"/>
          <w:b/>
          <w:sz w:val="24"/>
          <w:szCs w:val="28"/>
        </w:rPr>
        <w:t>月</w:t>
      </w:r>
      <w:r>
        <w:rPr>
          <w:rFonts w:ascii="宋体" w:eastAsia="宋体" w:hAnsi="宋体" w:cs="宋体" w:hint="eastAsia"/>
          <w:b/>
          <w:sz w:val="24"/>
          <w:szCs w:val="28"/>
        </w:rPr>
        <w:t xml:space="preserve"> </w:t>
      </w:r>
      <w:r>
        <w:rPr>
          <w:rFonts w:ascii="宋体" w:eastAsia="宋体" w:hAnsi="宋体" w:cs="宋体"/>
          <w:b/>
          <w:sz w:val="24"/>
          <w:szCs w:val="28"/>
        </w:rPr>
        <w:t xml:space="preserve"> </w:t>
      </w:r>
      <w:r>
        <w:rPr>
          <w:rFonts w:ascii="宋体" w:eastAsia="宋体" w:hAnsi="宋体" w:hint="eastAsia"/>
          <w:b/>
          <w:sz w:val="24"/>
          <w:szCs w:val="28"/>
        </w:rPr>
        <w:t>日</w:t>
      </w:r>
    </w:p>
    <w:p w14:paraId="64C76948" w14:textId="77777777" w:rsidR="00691EA2" w:rsidRDefault="00691EA2">
      <w:pPr>
        <w:adjustRightInd w:val="0"/>
        <w:snapToGrid w:val="0"/>
        <w:spacing w:line="400" w:lineRule="exact"/>
        <w:rPr>
          <w:rFonts w:ascii="宋体" w:eastAsia="宋体" w:hAnsi="宋体" w:cs="Arial"/>
          <w:sz w:val="24"/>
        </w:rPr>
      </w:pPr>
    </w:p>
    <w:p w14:paraId="511EE5C4" w14:textId="77777777" w:rsidR="00691EA2" w:rsidRDefault="00691EA2">
      <w:pPr>
        <w:spacing w:line="400" w:lineRule="exact"/>
        <w:rPr>
          <w:rFonts w:ascii="宋体" w:eastAsia="宋体" w:hAnsi="宋体"/>
        </w:rPr>
      </w:pPr>
    </w:p>
    <w:p w14:paraId="29617EA6" w14:textId="77777777" w:rsidR="00691EA2" w:rsidRDefault="00691EA2">
      <w:pPr>
        <w:spacing w:line="400" w:lineRule="exact"/>
        <w:rPr>
          <w:rFonts w:ascii="宋体" w:eastAsia="宋体" w:hAnsi="宋体"/>
        </w:rPr>
      </w:pPr>
    </w:p>
    <w:p w14:paraId="1C44761B" w14:textId="77777777" w:rsidR="00691EA2" w:rsidRDefault="00691EA2">
      <w:pPr>
        <w:spacing w:line="400" w:lineRule="exact"/>
        <w:rPr>
          <w:rFonts w:ascii="宋体" w:eastAsia="宋体" w:hAnsi="宋体"/>
        </w:rPr>
      </w:pPr>
    </w:p>
    <w:sectPr w:rsidR="00691EA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14374A" w16cex:dateUtc="2024-12-23T1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2843F" w14:textId="77777777" w:rsidR="00BA36ED" w:rsidRDefault="00BA36ED">
      <w:r>
        <w:separator/>
      </w:r>
    </w:p>
  </w:endnote>
  <w:endnote w:type="continuationSeparator" w:id="0">
    <w:p w14:paraId="73B126BE" w14:textId="77777777" w:rsidR="00BA36ED" w:rsidRDefault="00BA36ED">
      <w:r>
        <w:continuationSeparator/>
      </w:r>
    </w:p>
  </w:endnote>
  <w:endnote w:type="continuationNotice" w:id="1">
    <w:p w14:paraId="188F4146" w14:textId="77777777" w:rsidR="00BA36ED" w:rsidRDefault="00BA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2882" w14:textId="77777777" w:rsidR="00F874ED" w:rsidRDefault="00F874E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19D7E5" w14:textId="77777777" w:rsidR="00F874ED" w:rsidRDefault="00F874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21C4" w14:textId="77777777" w:rsidR="00F874ED" w:rsidRDefault="00F874E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66188">
      <w:rPr>
        <w:rStyle w:val="a8"/>
        <w:noProof/>
      </w:rPr>
      <w:t>33</w:t>
    </w:r>
    <w:r>
      <w:rPr>
        <w:rStyle w:val="a8"/>
      </w:rPr>
      <w:fldChar w:fldCharType="end"/>
    </w:r>
  </w:p>
  <w:p w14:paraId="17D536F2" w14:textId="77777777" w:rsidR="00F874ED" w:rsidRDefault="00F874E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4152" w14:textId="77777777" w:rsidR="00F874ED" w:rsidRDefault="00F874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9039" w14:textId="77777777" w:rsidR="00BA36ED" w:rsidRDefault="00BA36ED">
      <w:r>
        <w:separator/>
      </w:r>
    </w:p>
  </w:footnote>
  <w:footnote w:type="continuationSeparator" w:id="0">
    <w:p w14:paraId="4A592C99" w14:textId="77777777" w:rsidR="00BA36ED" w:rsidRDefault="00BA36ED">
      <w:r>
        <w:continuationSeparator/>
      </w:r>
    </w:p>
  </w:footnote>
  <w:footnote w:type="continuationNotice" w:id="1">
    <w:p w14:paraId="52565EB0" w14:textId="77777777" w:rsidR="00BA36ED" w:rsidRDefault="00BA3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1133" w14:textId="77777777" w:rsidR="00F874ED" w:rsidRDefault="00F874E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F31A" w14:textId="77777777" w:rsidR="00F874ED" w:rsidRDefault="00F874E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29278F2"/>
    <w:multiLevelType w:val="hybridMultilevel"/>
    <w:tmpl w:val="BF06E872"/>
    <w:lvl w:ilvl="0" w:tplc="02B42228">
      <w:start w:val="1"/>
      <w:numFmt w:val="decimal"/>
      <w:lvlText w:val="（%1）"/>
      <w:lvlJc w:val="left"/>
      <w:pPr>
        <w:ind w:left="1917" w:hanging="1065"/>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EA2"/>
    <w:rsid w:val="00027317"/>
    <w:rsid w:val="00100127"/>
    <w:rsid w:val="00111245"/>
    <w:rsid w:val="00147CF4"/>
    <w:rsid w:val="001530C4"/>
    <w:rsid w:val="00180041"/>
    <w:rsid w:val="001C26BD"/>
    <w:rsid w:val="00216EF7"/>
    <w:rsid w:val="00246660"/>
    <w:rsid w:val="002B0D3B"/>
    <w:rsid w:val="002C7C6A"/>
    <w:rsid w:val="002F065A"/>
    <w:rsid w:val="00304AA9"/>
    <w:rsid w:val="00377932"/>
    <w:rsid w:val="003A5302"/>
    <w:rsid w:val="003D439E"/>
    <w:rsid w:val="003F64AF"/>
    <w:rsid w:val="006351CE"/>
    <w:rsid w:val="006743E6"/>
    <w:rsid w:val="00691EA2"/>
    <w:rsid w:val="006A66FE"/>
    <w:rsid w:val="00814E76"/>
    <w:rsid w:val="008351D0"/>
    <w:rsid w:val="00870FC2"/>
    <w:rsid w:val="00873D68"/>
    <w:rsid w:val="008A10BA"/>
    <w:rsid w:val="00A01902"/>
    <w:rsid w:val="00BA36ED"/>
    <w:rsid w:val="00C92A1B"/>
    <w:rsid w:val="00CA1A13"/>
    <w:rsid w:val="00CB02C7"/>
    <w:rsid w:val="00CD3FAA"/>
    <w:rsid w:val="00E53733"/>
    <w:rsid w:val="00E54073"/>
    <w:rsid w:val="00E66188"/>
    <w:rsid w:val="00E95B58"/>
    <w:rsid w:val="00EB4887"/>
    <w:rsid w:val="00EB6B3F"/>
    <w:rsid w:val="00EC1069"/>
    <w:rsid w:val="00F14306"/>
    <w:rsid w:val="00F4478E"/>
    <w:rsid w:val="00F723AB"/>
    <w:rsid w:val="00F8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5CF86E2"/>
  <w15:docId w15:val="{CB4D45A0-65B3-4222-A951-2AF59C0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0"/>
    <w:link w:val="21"/>
    <w:qFormat/>
    <w:pPr>
      <w:keepNext/>
      <w:keepLines/>
      <w:spacing w:before="260" w:after="260" w:line="416" w:lineRule="auto"/>
      <w:outlineLvl w:val="1"/>
    </w:pPr>
    <w:rPr>
      <w:rFonts w:ascii="Arial" w:eastAsia="黑体" w:hAnsi="Arial" w:cs="Times New Roman"/>
      <w:b/>
      <w:sz w:val="32"/>
      <w:szCs w:val="20"/>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Pr>
      <w:rFonts w:asciiTheme="majorHAnsi" w:eastAsiaTheme="majorEastAsia" w:hAnsiTheme="majorHAnsi" w:cstheme="majorBidi"/>
      <w:b/>
      <w:bCs/>
      <w:sz w:val="32"/>
      <w:szCs w:val="32"/>
    </w:rPr>
  </w:style>
  <w:style w:type="paragraph" w:styleId="a4">
    <w:name w:val="header"/>
    <w:basedOn w:val="a"/>
    <w:link w:val="1"/>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1"/>
    <w:uiPriority w:val="99"/>
    <w:semiHidden/>
    <w:rPr>
      <w:sz w:val="18"/>
      <w:szCs w:val="18"/>
    </w:rPr>
  </w:style>
  <w:style w:type="character" w:customStyle="1" w:styleId="1">
    <w:name w:val="页眉 字符1"/>
    <w:link w:val="a4"/>
    <w:rPr>
      <w:rFonts w:ascii="Times New Roman" w:eastAsia="宋体" w:hAnsi="Times New Roman" w:cs="Times New Roman"/>
      <w:sz w:val="18"/>
      <w:szCs w:val="18"/>
    </w:rPr>
  </w:style>
  <w:style w:type="paragraph" w:styleId="a6">
    <w:name w:val="footer"/>
    <w:basedOn w:val="a"/>
    <w:link w:val="10"/>
    <w:unhideWhenUsed/>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1"/>
    <w:uiPriority w:val="99"/>
    <w:semiHidden/>
    <w:rPr>
      <w:sz w:val="18"/>
      <w:szCs w:val="18"/>
    </w:rPr>
  </w:style>
  <w:style w:type="character" w:customStyle="1" w:styleId="10">
    <w:name w:val="页脚 字符1"/>
    <w:link w:val="a6"/>
    <w:rPr>
      <w:rFonts w:ascii="Times New Roman" w:eastAsia="宋体" w:hAnsi="Times New Roman" w:cs="Times New Roman"/>
      <w:sz w:val="18"/>
      <w:szCs w:val="18"/>
    </w:rPr>
  </w:style>
  <w:style w:type="character" w:customStyle="1" w:styleId="21">
    <w:name w:val="标题 2 字符1"/>
    <w:link w:val="2"/>
    <w:rPr>
      <w:rFonts w:ascii="Arial" w:eastAsia="黑体" w:hAnsi="Arial" w:cs="Times New Roman"/>
      <w:b/>
      <w:sz w:val="32"/>
      <w:szCs w:val="20"/>
    </w:rPr>
  </w:style>
  <w:style w:type="character" w:styleId="a8">
    <w:name w:val="page number"/>
    <w:basedOn w:val="a1"/>
  </w:style>
  <w:style w:type="paragraph" w:styleId="a9">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Pr>
      <w:b/>
      <w:bCs/>
    </w:rPr>
  </w:style>
  <w:style w:type="character" w:styleId="ab">
    <w:name w:val="Hyperlink"/>
    <w:rPr>
      <w:color w:val="0000FF"/>
      <w:u w:val="single"/>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11"/>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style>
  <w:style w:type="character" w:customStyle="1" w:styleId="11">
    <w:name w:val="正文文本 字符1"/>
    <w:link w:val="ac"/>
    <w:rPr>
      <w:rFonts w:ascii="仿宋_GB2312" w:eastAsia="仿宋_GB2312" w:hAnsi="Times New Roman" w:cs="Times New Roman"/>
      <w:color w:val="000000"/>
      <w:kern w:val="0"/>
      <w:sz w:val="24"/>
      <w:szCs w:val="28"/>
    </w:rPr>
  </w:style>
  <w:style w:type="character" w:customStyle="1" w:styleId="read">
    <w:name w:val="read"/>
    <w:basedOn w:val="a1"/>
  </w:style>
  <w:style w:type="paragraph" w:styleId="a0">
    <w:name w:val="Normal Indent"/>
    <w:basedOn w:val="a"/>
    <w:pPr>
      <w:ind w:firstLineChars="200" w:firstLine="420"/>
    </w:pPr>
    <w:rPr>
      <w:rFonts w:ascii="Times New Roman" w:eastAsia="宋体" w:hAnsi="Times New Roman" w:cs="Times New Roman"/>
      <w:szCs w:val="24"/>
    </w:rPr>
  </w:style>
  <w:style w:type="paragraph" w:styleId="ae">
    <w:name w:val="Body Text Indent"/>
    <w:basedOn w:val="a"/>
    <w:link w:val="12"/>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uiPriority w:val="99"/>
    <w:semiHidden/>
  </w:style>
  <w:style w:type="character" w:customStyle="1" w:styleId="12">
    <w:name w:val="正文文本缩进 字符1"/>
    <w:link w:val="ae"/>
    <w:rPr>
      <w:rFonts w:ascii="Times New Roman" w:eastAsia="方正仿宋简体" w:hAnsi="Times New Roman" w:cs="Times New Roman"/>
      <w:sz w:val="24"/>
      <w:szCs w:val="30"/>
    </w:rPr>
  </w:style>
  <w:style w:type="paragraph" w:styleId="22">
    <w:name w:val="Body Text Indent 2"/>
    <w:basedOn w:val="a"/>
    <w:link w:val="210"/>
    <w:pPr>
      <w:spacing w:line="360" w:lineRule="auto"/>
      <w:ind w:firstLine="525"/>
    </w:pPr>
    <w:rPr>
      <w:rFonts w:ascii="宋体" w:eastAsia="宋体" w:hAnsi="宋体" w:cs="Times New Roman"/>
      <w:sz w:val="28"/>
      <w:szCs w:val="20"/>
    </w:rPr>
  </w:style>
  <w:style w:type="character" w:customStyle="1" w:styleId="23">
    <w:name w:val="正文文本缩进 2 字符"/>
    <w:basedOn w:val="a1"/>
    <w:uiPriority w:val="99"/>
    <w:semiHidden/>
  </w:style>
  <w:style w:type="character" w:customStyle="1" w:styleId="210">
    <w:name w:val="正文文本缩进 2 字符1"/>
    <w:link w:val="22"/>
    <w:rPr>
      <w:rFonts w:ascii="宋体" w:eastAsia="宋体" w:hAnsi="宋体" w:cs="Times New Roman"/>
      <w:sz w:val="28"/>
      <w:szCs w:val="20"/>
    </w:rPr>
  </w:style>
  <w:style w:type="paragraph" w:styleId="31">
    <w:name w:val="Body Text Indent 3"/>
    <w:basedOn w:val="a"/>
    <w:link w:val="310"/>
    <w:pPr>
      <w:adjustRightInd w:val="0"/>
      <w:snapToGrid w:val="0"/>
      <w:ind w:firstLineChars="200" w:firstLine="480"/>
    </w:pPr>
    <w:rPr>
      <w:rFonts w:ascii="仿宋_GB2312" w:eastAsia="仿宋_GB2312" w:hAnsi="宋体" w:cs="Arial"/>
      <w:color w:val="000000"/>
      <w:sz w:val="24"/>
      <w:szCs w:val="24"/>
    </w:rPr>
  </w:style>
  <w:style w:type="character" w:customStyle="1" w:styleId="32">
    <w:name w:val="正文文本缩进 3 字符"/>
    <w:basedOn w:val="a1"/>
    <w:uiPriority w:val="99"/>
    <w:semiHidden/>
    <w:rPr>
      <w:sz w:val="16"/>
      <w:szCs w:val="16"/>
    </w:rPr>
  </w:style>
  <w:style w:type="character" w:customStyle="1" w:styleId="310">
    <w:name w:val="正文文本缩进 3 字符1"/>
    <w:link w:val="31"/>
    <w:qFormat/>
    <w:rPr>
      <w:rFonts w:ascii="仿宋_GB2312" w:eastAsia="仿宋_GB2312" w:hAnsi="宋体" w:cs="Arial"/>
      <w:color w:val="000000"/>
      <w:sz w:val="24"/>
      <w:szCs w:val="24"/>
    </w:rPr>
  </w:style>
  <w:style w:type="paragraph" w:customStyle="1" w:styleId="af0">
    <w:uiPriority w:val="99"/>
    <w:unhideWhenUsed/>
    <w:pPr>
      <w:widowControl w:val="0"/>
      <w:ind w:leftChars="1600" w:left="3360"/>
      <w:jc w:val="both"/>
    </w:pPr>
    <w:rPr>
      <w:rFonts w:ascii="Times New Roman" w:eastAsia="宋体" w:hAnsi="Times New Roman" w:cs="Times New Roman"/>
      <w:szCs w:val="24"/>
    </w:rPr>
  </w:style>
  <w:style w:type="paragraph" w:styleId="af1">
    <w:name w:val="Balloon Text"/>
    <w:basedOn w:val="a"/>
    <w:link w:val="13"/>
    <w:semiHidden/>
    <w:rPr>
      <w:rFonts w:ascii="Times New Roman" w:eastAsia="宋体" w:hAnsi="Times New Roman" w:cs="Times New Roman"/>
      <w:sz w:val="18"/>
      <w:szCs w:val="18"/>
    </w:rPr>
  </w:style>
  <w:style w:type="character" w:customStyle="1" w:styleId="af2">
    <w:name w:val="批注框文本 字符"/>
    <w:basedOn w:val="a1"/>
    <w:uiPriority w:val="99"/>
    <w:semiHidden/>
    <w:rPr>
      <w:sz w:val="18"/>
      <w:szCs w:val="18"/>
    </w:rPr>
  </w:style>
  <w:style w:type="character" w:customStyle="1" w:styleId="13">
    <w:name w:val="批注框文本 字符1"/>
    <w:link w:val="af1"/>
    <w:semiHidden/>
    <w:rPr>
      <w:rFonts w:ascii="Times New Roman" w:eastAsia="宋体" w:hAnsi="Times New Roman" w:cs="Times New Roman"/>
      <w:sz w:val="18"/>
      <w:szCs w:val="18"/>
    </w:rPr>
  </w:style>
  <w:style w:type="paragraph" w:customStyle="1" w:styleId="Char">
    <w:name w:val="Char"/>
    <w:basedOn w:val="a"/>
    <w:rPr>
      <w:rFonts w:ascii="Times New Roman" w:eastAsia="宋体" w:hAnsi="Times New Roman" w:cs="Times New Roman"/>
      <w:szCs w:val="24"/>
    </w:rPr>
  </w:style>
  <w:style w:type="paragraph" w:customStyle="1" w:styleId="Char1">
    <w:name w:val="Char1"/>
    <w:basedOn w:val="a"/>
    <w:autoRedefine/>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Pr>
      <w:rFonts w:ascii="Times New Roman" w:eastAsia="宋体" w:hAnsi="Times New Roman" w:cs="Times New Roman"/>
      <w:szCs w:val="24"/>
    </w:rPr>
  </w:style>
  <w:style w:type="character" w:styleId="af3">
    <w:name w:val="annotation reference"/>
    <w:qFormat/>
    <w:rPr>
      <w:sz w:val="21"/>
      <w:szCs w:val="21"/>
    </w:rPr>
  </w:style>
  <w:style w:type="paragraph" w:styleId="af4">
    <w:name w:val="annotation text"/>
    <w:basedOn w:val="a"/>
    <w:link w:val="14"/>
    <w:qFormat/>
    <w:pPr>
      <w:jc w:val="left"/>
    </w:pPr>
    <w:rPr>
      <w:rFonts w:ascii="Times New Roman" w:eastAsia="宋体" w:hAnsi="Times New Roman" w:cs="Times New Roman"/>
      <w:szCs w:val="24"/>
    </w:rPr>
  </w:style>
  <w:style w:type="character" w:customStyle="1" w:styleId="af5">
    <w:name w:val="批注文字 字符"/>
    <w:basedOn w:val="a1"/>
    <w:qFormat/>
  </w:style>
  <w:style w:type="character" w:customStyle="1" w:styleId="14">
    <w:name w:val="批注文字 字符1"/>
    <w:link w:val="af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Pr>
      <w:rFonts w:ascii="Times New Roman" w:eastAsia="宋体" w:hAnsi="Times New Roman" w:cs="Times New Roman"/>
      <w:szCs w:val="24"/>
    </w:rPr>
  </w:style>
  <w:style w:type="paragraph" w:customStyle="1" w:styleId="CharChar">
    <w:name w:val="Char Char"/>
    <w:basedOn w:val="a"/>
    <w:rPr>
      <w:rFonts w:ascii="Times New Roman" w:eastAsia="宋体" w:hAnsi="Times New Roman" w:cs="Times New Roman"/>
      <w:szCs w:val="20"/>
    </w:rPr>
  </w:style>
  <w:style w:type="paragraph" w:styleId="HTML">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Pr>
      <w:rFonts w:ascii="Courier New" w:hAnsi="Courier New" w:cs="Courier New"/>
      <w:sz w:val="20"/>
      <w:szCs w:val="20"/>
    </w:rPr>
  </w:style>
  <w:style w:type="character" w:customStyle="1" w:styleId="HTML1">
    <w:name w:val="HTML 预设格式 字符1"/>
    <w:link w:val="HTML"/>
    <w:uiPriority w:val="99"/>
    <w:rPr>
      <w:rFonts w:ascii="宋体" w:eastAsia="宋体" w:hAnsi="宋体" w:cs="宋体"/>
      <w:kern w:val="0"/>
      <w:sz w:val="24"/>
      <w:szCs w:val="24"/>
    </w:rPr>
  </w:style>
  <w:style w:type="paragraph" w:styleId="af6">
    <w:name w:val="annotation subject"/>
    <w:basedOn w:val="af4"/>
    <w:next w:val="af4"/>
    <w:link w:val="15"/>
    <w:rPr>
      <w:b/>
      <w:bCs/>
    </w:rPr>
  </w:style>
  <w:style w:type="character" w:customStyle="1" w:styleId="af7">
    <w:name w:val="批注主题 字符"/>
    <w:basedOn w:val="af5"/>
    <w:uiPriority w:val="99"/>
    <w:semiHidden/>
    <w:rPr>
      <w:b/>
      <w:bCs/>
    </w:rPr>
  </w:style>
  <w:style w:type="character" w:customStyle="1" w:styleId="15">
    <w:name w:val="批注主题 字符1"/>
    <w:link w:val="af6"/>
    <w:rPr>
      <w:rFonts w:ascii="Times New Roman" w:eastAsia="宋体" w:hAnsi="Times New Roman" w:cs="Times New Roman"/>
      <w:b/>
      <w:bCs/>
      <w:szCs w:val="24"/>
    </w:rPr>
  </w:style>
  <w:style w:type="paragraph" w:styleId="af8">
    <w:name w:val="Revision"/>
    <w:hidden/>
    <w:uiPriority w:val="99"/>
    <w:semiHidden/>
    <w:rPr>
      <w:rFonts w:ascii="Times New Roman" w:eastAsia="宋体" w:hAnsi="Times New Roman" w:cs="Times New Roman"/>
      <w:szCs w:val="24"/>
    </w:rPr>
  </w:style>
  <w:style w:type="character" w:styleId="af9">
    <w:name w:val="FollowedHyperlink"/>
    <w:basedOn w:val="a1"/>
    <w:uiPriority w:val="99"/>
    <w:semiHidden/>
    <w:unhideWhenUsed/>
    <w:rPr>
      <w:color w:val="954F72" w:themeColor="followedHyperlink"/>
      <w:u w:val="single"/>
    </w:rPr>
  </w:style>
  <w:style w:type="character" w:customStyle="1" w:styleId="30">
    <w:name w:val="标题 3 字符"/>
    <w:basedOn w:val="a1"/>
    <w:link w:val="3"/>
    <w:uiPriority w:val="9"/>
    <w:semiHidden/>
    <w:rPr>
      <w:b/>
      <w:bCs/>
      <w:sz w:val="32"/>
      <w:szCs w:val="32"/>
    </w:rPr>
  </w:style>
  <w:style w:type="character" w:customStyle="1" w:styleId="Char10">
    <w:name w:val="批注文字 Char1"/>
    <w:basedOn w:val="a1"/>
    <w:qFormat/>
    <w:rPr>
      <w:rFonts w:ascii="Times New Roman" w:eastAsia="宋体"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91233">
      <w:bodyDiv w:val="1"/>
      <w:marLeft w:val="0"/>
      <w:marRight w:val="0"/>
      <w:marTop w:val="0"/>
      <w:marBottom w:val="0"/>
      <w:divBdr>
        <w:top w:val="none" w:sz="0" w:space="0" w:color="auto"/>
        <w:left w:val="none" w:sz="0" w:space="0" w:color="auto"/>
        <w:bottom w:val="none" w:sz="0" w:space="0" w:color="auto"/>
        <w:right w:val="none" w:sz="0" w:space="0" w:color="auto"/>
      </w:divBdr>
    </w:div>
    <w:div w:id="566500565">
      <w:bodyDiv w:val="1"/>
      <w:marLeft w:val="0"/>
      <w:marRight w:val="0"/>
      <w:marTop w:val="0"/>
      <w:marBottom w:val="0"/>
      <w:divBdr>
        <w:top w:val="none" w:sz="0" w:space="0" w:color="auto"/>
        <w:left w:val="none" w:sz="0" w:space="0" w:color="auto"/>
        <w:bottom w:val="none" w:sz="0" w:space="0" w:color="auto"/>
        <w:right w:val="none" w:sz="0" w:space="0" w:color="auto"/>
      </w:divBdr>
    </w:div>
    <w:div w:id="2059889645">
      <w:bodyDiv w:val="1"/>
      <w:marLeft w:val="0"/>
      <w:marRight w:val="0"/>
      <w:marTop w:val="0"/>
      <w:marBottom w:val="0"/>
      <w:divBdr>
        <w:top w:val="none" w:sz="0" w:space="0" w:color="auto"/>
        <w:left w:val="none" w:sz="0" w:space="0" w:color="auto"/>
        <w:bottom w:val="none" w:sz="0" w:space="0" w:color="auto"/>
        <w:right w:val="none" w:sz="0" w:space="0" w:color="auto"/>
      </w:divBdr>
    </w:div>
    <w:div w:id="2137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7299-E460-465E-99BD-1156323C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48</Pages>
  <Words>4822</Words>
  <Characters>27487</Characters>
  <Application>Microsoft Office Word</Application>
  <DocSecurity>0</DocSecurity>
  <Lines>229</Lines>
  <Paragraphs>64</Paragraphs>
  <ScaleCrop>false</ScaleCrop>
  <Company>神州网信技术有限公司</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兴证全球基金</dc:creator>
  <cp:lastModifiedBy>彭莱</cp:lastModifiedBy>
  <cp:revision>186</cp:revision>
  <dcterms:created xsi:type="dcterms:W3CDTF">2022-12-21T07:36:00Z</dcterms:created>
  <dcterms:modified xsi:type="dcterms:W3CDTF">2025-02-18T03:14:00Z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